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</w:t>
      </w:r>
      <w:r>
        <w:rPr>
          <w:b/>
          <w:caps/>
          <w:sz w:val="24"/>
          <w:szCs w:val="24"/>
        </w:rPr>
        <w:t xml:space="preserve">на</w:t>
      </w:r>
      <w:r>
        <w:rPr>
          <w:b/>
          <w:caps/>
          <w:sz w:val="24"/>
          <w:szCs w:val="24"/>
        </w:rPr>
        <w:t xml:space="preserve"> ОКАЗАНИЯ услуг</w:t>
      </w:r>
      <w:r>
        <w:rPr>
          <w:b/>
          <w:caps/>
          <w:sz w:val="24"/>
          <w:szCs w:val="24"/>
        </w:rPr>
        <w:t xml:space="preserve"> по техническому обслуживанию и ремонту оргтехники</w:t>
      </w:r>
      <w:r>
        <w:rPr>
          <w:b/>
          <w:caps/>
          <w:sz w:val="24"/>
          <w:szCs w:val="24"/>
        </w:rPr>
        <w:t xml:space="preserve"> №___________</w:t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Кызыл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«___» ____</w:t>
      </w:r>
      <w:r>
        <w:rPr>
          <w:sz w:val="24"/>
          <w:szCs w:val="24"/>
        </w:rPr>
        <w:t xml:space="preserve">________ 20___ г.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«Россети Сибирь</w:t>
      </w:r>
      <w:r>
        <w:rPr>
          <w:b/>
          <w:sz w:val="24"/>
          <w:szCs w:val="24"/>
        </w:rPr>
        <w:t xml:space="preserve"> Тываэнерго» (</w:t>
      </w:r>
      <w:r>
        <w:rPr>
          <w:b/>
          <w:sz w:val="24"/>
          <w:szCs w:val="24"/>
        </w:rPr>
        <w:t xml:space="preserve">АО «Россети Сибирь</w:t>
      </w:r>
      <w:r>
        <w:rPr>
          <w:b/>
          <w:sz w:val="24"/>
          <w:szCs w:val="24"/>
        </w:rPr>
        <w:t xml:space="preserve"> Тываэнерго</w:t>
      </w:r>
      <w:r>
        <w:rPr>
          <w:b/>
          <w:sz w:val="24"/>
          <w:szCs w:val="24"/>
        </w:rPr>
        <w:t xml:space="preserve">»),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в лице __________________________</w:t>
      </w:r>
      <w:r>
        <w:rPr>
          <w:sz w:val="24"/>
          <w:szCs w:val="24"/>
        </w:rPr>
        <w:t xml:space="preserve">, действующего</w:t>
      </w:r>
      <w:r>
        <w:rPr>
          <w:sz w:val="24"/>
          <w:szCs w:val="24"/>
        </w:rPr>
        <w:t xml:space="preserve"> на основании ______________</w:t>
      </w:r>
      <w:r>
        <w:rPr>
          <w:sz w:val="24"/>
          <w:szCs w:val="24"/>
        </w:rPr>
        <w:t xml:space="preserve">______________, с одной стороны, и </w:t>
      </w:r>
      <w:r>
        <w:rPr>
          <w:sz w:val="24"/>
          <w:szCs w:val="24"/>
        </w:rPr>
      </w:r>
      <w:r>
        <w:rPr>
          <w:b/>
          <w:sz w:val="24"/>
          <w:szCs w:val="24"/>
        </w:rPr>
        <w:t xml:space="preserve">____ «_________________________________» (___ «_____»)</w:t>
      </w:r>
      <w:r>
        <w:rPr>
          <w:sz w:val="24"/>
          <w:szCs w:val="24"/>
        </w:rPr>
        <w:t xml:space="preserve">, именуем</w:t>
      </w:r>
      <w:r>
        <w:rPr>
          <w:sz w:val="24"/>
          <w:szCs w:val="24"/>
        </w:rPr>
        <w:t xml:space="preserve">ое</w:t>
      </w:r>
      <w:r>
        <w:rPr>
          <w:sz w:val="24"/>
          <w:szCs w:val="24"/>
        </w:rPr>
        <w:t xml:space="preserve">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_____________________________________________, действующ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на основании ______________________</w:t>
      </w:r>
      <w:r>
        <w:rPr>
          <w:rStyle w:val="1158"/>
          <w:sz w:val="24"/>
          <w:szCs w:val="24"/>
        </w:rPr>
        <w:footnoteReference w:id="2"/>
      </w:r>
      <w:r>
        <w:rPr>
          <w:sz w:val="24"/>
          <w:szCs w:val="24"/>
        </w:rPr>
        <w:t xml:space="preserve">, с </w:t>
      </w:r>
      <w:r>
        <w:rPr>
          <w:sz w:val="24"/>
          <w:szCs w:val="24"/>
        </w:rPr>
        <w:t xml:space="preserve">другой </w:t>
      </w:r>
      <w:r>
        <w:rPr>
          <w:sz w:val="24"/>
          <w:szCs w:val="24"/>
        </w:rPr>
        <w:t xml:space="preserve">стороны, именуемые в дальнейшем «Стороны»</w:t>
      </w:r>
      <w:r>
        <w:rPr>
          <w:rStyle w:val="1158"/>
          <w:sz w:val="24"/>
          <w:szCs w:val="24"/>
        </w:rPr>
        <w:footnoteReference w:id="3"/>
      </w:r>
      <w:r>
        <w:rPr>
          <w:sz w:val="24"/>
          <w:szCs w:val="24"/>
        </w:rPr>
        <w:t xml:space="preserve">, заключили настоящий Договор о нижеследующем.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</w:t>
      </w:r>
      <w:r>
        <w:rPr>
          <w:sz w:val="24"/>
          <w:szCs w:val="24"/>
        </w:rPr>
        <w:t xml:space="preserve">услуги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диагностике и ремонту оргтехники,</w:t>
      </w:r>
      <w:r>
        <w:rPr>
          <w:sz w:val="24"/>
          <w:szCs w:val="24"/>
        </w:rPr>
        <w:t xml:space="preserve">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 обязан ок</w:t>
      </w:r>
      <w:r>
        <w:rPr>
          <w:sz w:val="24"/>
          <w:szCs w:val="24"/>
        </w:rPr>
        <w:t xml:space="preserve">азать </w:t>
      </w:r>
      <w:r>
        <w:rPr>
          <w:sz w:val="24"/>
          <w:szCs w:val="24"/>
        </w:rPr>
        <w:t xml:space="preserve">предусмотренные Договором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слуги в </w:t>
      </w:r>
      <w:r>
        <w:rPr>
          <w:sz w:val="24"/>
          <w:szCs w:val="24"/>
        </w:rPr>
        <w:t xml:space="preserve">обусловленном объеме и в </w:t>
      </w:r>
      <w:r>
        <w:rPr>
          <w:sz w:val="24"/>
          <w:szCs w:val="24"/>
        </w:rPr>
        <w:t xml:space="preserve">полном соответствии со сроками, указанными в </w:t>
      </w:r>
      <w:r>
        <w:rPr>
          <w:sz w:val="24"/>
          <w:szCs w:val="24"/>
        </w:rPr>
        <w:t xml:space="preserve">настоящем Договоре и заявках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/>
      <w:bookmarkStart w:id="0" w:name="_Ref157416580"/>
      <w:r>
        <w:rPr>
          <w:sz w:val="24"/>
          <w:szCs w:val="24"/>
        </w:rPr>
        <w:t xml:space="preserve">Предельная цена оказываемых Услуг составляет  ______ (________) 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предельная цена/цена оказываемых Услуг составляет  ______ (________) рублей __ копеек</w:t>
      </w:r>
      <w:r>
        <w:rPr>
          <w:sz w:val="24"/>
          <w:szCs w:val="24"/>
        </w:rPr>
        <w:t xml:space="preserve">.</w:t>
      </w:r>
      <w:bookmarkEnd w:id="0"/>
      <w:r>
        <w:rPr>
          <w:rStyle w:val="1158"/>
          <w:i/>
          <w:sz w:val="24"/>
          <w:szCs w:val="24"/>
        </w:rPr>
        <w:footnoteReference w:id="4"/>
      </w:r>
      <w:r>
        <w:rPr>
          <w:i/>
          <w:sz w:val="24"/>
          <w:szCs w:val="24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настоящему Договору у Заказчика не возникает обязанности заказать Услуги на всю указанную предельную цену.</w:t>
      </w:r>
      <w:r>
        <w:rPr>
          <w:sz w:val="24"/>
          <w:szCs w:val="24"/>
        </w:rPr>
      </w:r>
    </w:p>
    <w:p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Цена Договора подлежит изменению при изменении ставки НДС без заключения дополнительного соглашения к настоящему Договору.</w:t>
      </w:r>
      <w:r>
        <w:rPr>
          <w:sz w:val="24"/>
        </w:rPr>
        <w:t xml:space="preserve"> Цена договора будет складываться из стоимости фактических оказанных Услуг. </w:t>
      </w:r>
      <w:r>
        <w:rPr>
          <w:sz w:val="24"/>
        </w:rPr>
        <w:t xml:space="preserve">Стоимость </w:t>
      </w:r>
      <w:r>
        <w:rPr>
          <w:sz w:val="24"/>
        </w:rPr>
        <w:t xml:space="preserve">У</w:t>
      </w:r>
      <w:r>
        <w:rPr>
          <w:sz w:val="24"/>
        </w:rPr>
        <w:t xml:space="preserve">слуг согласована Сторонами в Прайс-листе (Приложение № 1 к Договору) и может быть изменена только по дополнительному соглашению сторон.</w:t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Стоимость услуг включает в себя стоимость материалов для замены. </w:t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Заказчик оплачивает фактически оказанные Услуги не позднее </w:t>
      </w:r>
      <w:r>
        <w:rPr>
          <w:sz w:val="24"/>
          <w:szCs w:val="24"/>
        </w:rPr>
        <w:t xml:space="preserve">7 (семи) рабочих</w:t>
      </w:r>
      <w:r>
        <w:rPr>
          <w:i/>
          <w:sz w:val="24"/>
          <w:szCs w:val="24"/>
        </w:rPr>
        <w:t xml:space="preserve"> дней</w:t>
      </w:r>
      <w:r>
        <w:rPr>
          <w:rStyle w:val="1158"/>
          <w:i/>
          <w:sz w:val="24"/>
          <w:szCs w:val="24"/>
        </w:rPr>
        <w:footnoteReference w:id="5"/>
      </w:r>
      <w:r>
        <w:rPr>
          <w:sz w:val="24"/>
          <w:szCs w:val="24"/>
        </w:rPr>
        <w:t xml:space="preserve"> после подписания Сторонами акта сдачи-приемки оказанных услуг по Договору </w:t>
      </w:r>
      <w:r>
        <w:rPr>
          <w:i/>
          <w:sz w:val="24"/>
          <w:szCs w:val="24"/>
        </w:rPr>
        <w:t xml:space="preserve">и получения счета-фактуры</w:t>
      </w:r>
      <w:r>
        <w:rPr>
          <w:i/>
          <w:sz w:val="24"/>
          <w:szCs w:val="24"/>
        </w:rPr>
        <w:t xml:space="preserve">, оформленного в соответствии с требованиями </w:t>
      </w:r>
      <w:r>
        <w:rPr>
          <w:i/>
          <w:sz w:val="24"/>
          <w:szCs w:val="24"/>
        </w:rPr>
        <w:t xml:space="preserve">налогового законодательства РФ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</w:t>
      </w:r>
      <w:r>
        <w:rPr>
          <w:sz w:val="24"/>
          <w:szCs w:val="24"/>
        </w:rPr>
        <w:t xml:space="preserve">.</w:t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 xml:space="preserve">опционная премия по настоящему Договору не предусмотрена</w:t>
      </w:r>
      <w:r>
        <w:rPr>
          <w:sz w:val="24"/>
          <w:szCs w:val="24"/>
        </w:rPr>
        <w:t xml:space="preserve">.</w:t>
      </w:r>
      <w:r>
        <w:rPr>
          <w:rStyle w:val="1158"/>
          <w:sz w:val="24"/>
          <w:szCs w:val="24"/>
        </w:rPr>
        <w:footnoteReference w:id="6"/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</w:t>
      </w:r>
      <w:r>
        <w:rPr>
          <w:sz w:val="24"/>
          <w:szCs w:val="24"/>
        </w:rPr>
        <w:t xml:space="preserve">со стороны Заказчика акт сверки расчетов подписывается  не позднее 10 календарных дней с даты его получения</w:t>
      </w:r>
      <w:r>
        <w:rPr>
          <w:rStyle w:val="1158"/>
          <w:sz w:val="24"/>
          <w:szCs w:val="24"/>
        </w:rPr>
        <w:t xml:space="preserve"> </w:t>
      </w:r>
      <w:r>
        <w:rPr>
          <w:rStyle w:val="1158"/>
          <w:sz w:val="24"/>
          <w:szCs w:val="24"/>
        </w:rPr>
        <w:footnoteReference w:id="7"/>
      </w:r>
      <w:r>
        <w:rPr>
          <w:sz w:val="24"/>
          <w:szCs w:val="24"/>
        </w:rPr>
        <w:t xml:space="preserve">. </w:t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rPr>
          <w:sz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</w:rPr>
      </w:r>
    </w:p>
    <w:p>
      <w:pPr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основании Заявок Заказчика, содержащих наименование Услуг, </w:t>
      </w:r>
      <w:r>
        <w:rPr>
          <w:sz w:val="24"/>
          <w:szCs w:val="24"/>
        </w:rPr>
        <w:t xml:space="preserve">место оказания Услуг, объем и </w:t>
      </w:r>
      <w:r>
        <w:rPr>
          <w:sz w:val="24"/>
          <w:szCs w:val="24"/>
        </w:rPr>
        <w:t xml:space="preserve">перечень </w:t>
      </w:r>
      <w:r>
        <w:rPr>
          <w:sz w:val="24"/>
          <w:szCs w:val="24"/>
        </w:rPr>
        <w:t xml:space="preserve">оргтехники, подлежащих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техническому обслуживанию </w:t>
      </w:r>
      <w:r>
        <w:rPr>
          <w:sz w:val="24"/>
          <w:szCs w:val="24"/>
        </w:rPr>
        <w:t xml:space="preserve">и ремонту</w:t>
      </w:r>
      <w:r>
        <w:rPr>
          <w:sz w:val="24"/>
          <w:szCs w:val="24"/>
        </w:rPr>
        <w:t xml:space="preserve">. Заказчик направляет Исполнителю заявку на</w:t>
      </w:r>
      <w:r>
        <w:rPr>
          <w:sz w:val="24"/>
          <w:szCs w:val="24"/>
        </w:rPr>
        <w:t xml:space="preserve"> оказание услуг, с указанием необходимых услуг в соответствии с Приложением № 1 к Договору, посредством электронной почты на адрес _______________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</w:t>
      </w:r>
      <w:r>
        <w:rPr>
          <w:sz w:val="24"/>
          <w:szCs w:val="24"/>
        </w:rPr>
        <w:t xml:space="preserve">5 (пяти) календарных дней по окончании оказания услуг,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десяти</w:t>
      </w:r>
      <w:r>
        <w:rPr>
          <w:sz w:val="24"/>
          <w:szCs w:val="24"/>
        </w:rPr>
        <w:t xml:space="preserve">) рабочих</w:t>
      </w:r>
      <w:r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</w:t>
      </w:r>
      <w:r>
        <w:rPr>
          <w:sz w:val="24"/>
          <w:szCs w:val="24"/>
        </w:rPr>
        <w:t xml:space="preserve">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</w:t>
      </w:r>
      <w:r>
        <w:rPr>
          <w:sz w:val="24"/>
          <w:szCs w:val="24"/>
        </w:rPr>
        <w:t xml:space="preserve">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</w:t>
      </w:r>
      <w:r>
        <w:rPr>
          <w:sz w:val="24"/>
          <w:szCs w:val="24"/>
        </w:rPr>
        <w:t xml:space="preserve">свершившегося события, дату и номер Договора.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709" w:leader="none"/>
          <w:tab w:val="left" w:pos="851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Сторонами Соглашения о применении электронного документооборота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</w:t>
      </w:r>
      <w:r>
        <w:rPr>
          <w:sz w:val="24"/>
          <w:szCs w:val="24"/>
        </w:rPr>
        <w:t xml:space="preserve"> сдачи-приемки оказанных услуг оформляется в формате электронного документа, утвержденного ФНС России либо по иной форме, согласованной Сторонами в </w:t>
      </w:r>
      <w:r>
        <w:rPr>
          <w:sz w:val="24"/>
          <w:szCs w:val="24"/>
        </w:rPr>
        <w:t xml:space="preserve">указанном </w:t>
      </w:r>
      <w:r>
        <w:rPr>
          <w:sz w:val="24"/>
          <w:szCs w:val="24"/>
        </w:rPr>
        <w:t xml:space="preserve">Соглашении.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</w:t>
      </w:r>
      <w:r>
        <w:rPr>
          <w:sz w:val="24"/>
          <w:szCs w:val="24"/>
        </w:rPr>
        <w:t xml:space="preserve">несохранность</w:t>
      </w:r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r>
        <w:rPr>
          <w:rFonts w:eastAsia="Calibri"/>
          <w:sz w:val="24"/>
          <w:szCs w:val="24"/>
        </w:rPr>
        <w:t xml:space="preserve">субисполнителей</w:t>
      </w:r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r>
        <w:rPr>
          <w:rFonts w:eastAsia="Calibri"/>
          <w:sz w:val="24"/>
          <w:szCs w:val="24"/>
        </w:rPr>
        <w:t xml:space="preserve">субисполнителями</w:t>
      </w:r>
      <w:r>
        <w:rPr>
          <w:rFonts w:eastAsia="Calibri"/>
          <w:sz w:val="24"/>
          <w:szCs w:val="24"/>
        </w:rPr>
        <w:t xml:space="preserve">, общей стоимости договоров, заключаемых с указанными субъектами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shd w:val="clear" w:color="auto" w:fill="ffffff"/>
        <w:tabs>
          <w:tab w:val="clear" w:pos="1100" w:leader="none"/>
        </w:tabs>
        <w:rPr>
          <w:sz w:val="24"/>
        </w:rPr>
      </w:pPr>
      <w:r>
        <w:rPr>
          <w:sz w:val="24"/>
        </w:rPr>
        <w:t xml:space="preserve">О</w:t>
      </w:r>
      <w:r>
        <w:rPr>
          <w:sz w:val="24"/>
        </w:rPr>
        <w:t xml:space="preserve">бщий срок оказания услуг устанавливается с момента заключения договора в течение 365 дней.</w:t>
      </w:r>
      <w:r>
        <w:rPr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обслуживания единицы оборудования не может превышать 30 (тридцати) календарных дней с момента передачи оборудования Исполнителю, включая срок ожидания необходимых запасных частей, комплектующих и прочих материалов.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достижении предельной цены, установленной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>
        <w:rPr>
          <w:sz w:val="24"/>
          <w:szCs w:val="24"/>
        </w:rPr>
        <w:t xml:space="preserve">иное не предусмотрено Договором.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территории Исполнителя. Исполнитель должен обеспечить самостоятельную транспортировку передаваемой/принимаемой на ремонт/обслуживание оргтехники по адресу АО «Россети Сибирь</w:t>
      </w:r>
      <w:r>
        <w:rPr>
          <w:sz w:val="24"/>
          <w:szCs w:val="24"/>
        </w:rPr>
        <w:t xml:space="preserve"> Тываэнерго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производственное отделение «Тываэнергосбыт»:</w:t>
      </w:r>
      <w:r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67010</w:t>
      </w:r>
      <w:r>
        <w:rPr>
          <w:sz w:val="24"/>
          <w:szCs w:val="24"/>
        </w:rPr>
        <w:t xml:space="preserve">, РФ, </w:t>
      </w:r>
      <w:r>
        <w:rPr>
          <w:sz w:val="24"/>
          <w:szCs w:val="24"/>
        </w:rPr>
        <w:t xml:space="preserve">Республика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Тыва</w:t>
      </w:r>
      <w:r>
        <w:rPr>
          <w:sz w:val="24"/>
          <w:szCs w:val="24"/>
        </w:rPr>
        <w:t xml:space="preserve">, г. </w:t>
      </w:r>
      <w:r>
        <w:rPr>
          <w:sz w:val="24"/>
          <w:szCs w:val="24"/>
        </w:rPr>
        <w:t xml:space="preserve">Кызыл</w:t>
      </w:r>
      <w:r>
        <w:rPr>
          <w:sz w:val="24"/>
          <w:szCs w:val="24"/>
        </w:rPr>
        <w:t xml:space="preserve">, ул. </w:t>
      </w:r>
      <w:r>
        <w:rPr>
          <w:sz w:val="24"/>
          <w:szCs w:val="24"/>
          <w:lang w:val="en-US"/>
        </w:rPr>
        <w:t xml:space="preserve">Заводская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 xml:space="preserve">2а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Использовать свои материалы, спецодежду, приборы, инструмент, приспособления и оборудование, расходы на которые входят в стоимость оказания услуг.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 возврата, повреждения оргтехники при оказании Услуг, возместить Заказчику полную стоимость причиненного ущерба.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Техническое обслуживание</w:t>
      </w:r>
      <w:r>
        <w:rPr>
          <w:sz w:val="24"/>
          <w:szCs w:val="24"/>
        </w:rPr>
        <w:t xml:space="preserve"> и ремонт оргтехники производить с использованием новых (не бывших в употреблении) оригинальных материалов </w:t>
      </w:r>
      <w:r>
        <w:rPr>
          <w:sz w:val="24"/>
          <w:szCs w:val="24"/>
        </w:rPr>
        <w:t xml:space="preserve">Исполнителя.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</w:t>
      </w:r>
      <w:r>
        <w:rPr>
          <w:sz w:val="24"/>
          <w:szCs w:val="24"/>
        </w:rPr>
        <w:t xml:space="preserve">е продолжение услуг невозможным.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олучать письменное согласие Заказчика на уступку, передачу, перепоручение прав (требований) и обязанностей Исполнителя по </w:t>
      </w:r>
      <w:r>
        <w:rPr>
          <w:sz w:val="24"/>
          <w:szCs w:val="24"/>
        </w:rPr>
        <w:t xml:space="preserve">Договору третьему лицу, за исключением случаев, указанных в п.5.2.3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Заказчику: </w:t>
      </w:r>
      <w:r>
        <w:rPr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форме, указанной в Приложении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/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Приложении № </w:t>
      </w:r>
      <w:r>
        <w:rPr>
          <w:sz w:val="24"/>
          <w:szCs w:val="24"/>
        </w:rPr>
        <w:t xml:space="preserve">5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>
        <w:rPr>
          <w:sz w:val="24"/>
          <w:szCs w:val="24"/>
        </w:rPr>
        <w:t xml:space="preserve">гана (руководителя) Исполнителя.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>
        <w:rPr>
          <w:sz w:val="24"/>
          <w:szCs w:val="24"/>
        </w:rPr>
        <w:t xml:space="preserve">ого разрешения Заказчика.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rStyle w:val="1158"/>
          <w:sz w:val="24"/>
          <w:szCs w:val="24"/>
        </w:rPr>
        <w:footnoteReference w:id="8"/>
      </w:r>
      <w:r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</w:t>
      </w:r>
      <w:r>
        <w:rPr>
          <w:sz w:val="24"/>
          <w:szCs w:val="24"/>
        </w:rPr>
        <w:t xml:space="preserve">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</w:t>
      </w:r>
      <w:r>
        <w:rPr>
          <w:sz w:val="24"/>
          <w:szCs w:val="24"/>
        </w:rPr>
        <w:t xml:space="preserve">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</w:t>
      </w:r>
      <w:r>
        <w:rPr>
          <w:sz w:val="24"/>
          <w:szCs w:val="24"/>
        </w:rPr>
        <w:t xml:space="preserve">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налога*.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*В случае перехода на электронный документооборот, пункт 5.1.13. излагается в следующей редакции:</w:t>
      </w:r>
      <w:r>
        <w:rPr>
          <w:b/>
          <w:i/>
          <w:sz w:val="24"/>
          <w:szCs w:val="24"/>
        </w:rPr>
      </w:r>
    </w:p>
    <w:p>
      <w:pPr>
        <w:ind w:firstLine="851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5.1.1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ab/>
        <w:t xml:space="preserve">Выставить Заказчику счет-фактуру, соответствующий требованиям п. 5, 6 ст. 169 НК РФ и Правил, утвержденных</w:t>
      </w:r>
      <w:r>
        <w:rPr>
          <w:sz w:val="24"/>
          <w:szCs w:val="24"/>
        </w:rPr>
        <w:t xml:space="preserve">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</w:t>
      </w:r>
      <w:r>
        <w:rPr>
          <w:sz w:val="24"/>
          <w:szCs w:val="24"/>
        </w:rPr>
        <w:t xml:space="preserve">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</w:t>
      </w:r>
      <w:r>
        <w:rPr>
          <w:sz w:val="24"/>
          <w:szCs w:val="24"/>
        </w:rPr>
        <w:t xml:space="preserve">й применения настоящего пункта С</w:t>
      </w:r>
      <w:r>
        <w:rPr>
          <w:sz w:val="24"/>
          <w:szCs w:val="24"/>
        </w:rPr>
        <w:t xml:space="preserve">тороны признают, что понятие «выставил» означает изготовление и передачу Заказчику электронного документа, переданного по телекоммуникационным каналам связи с использованием усиленной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квалифицированной эл</w:t>
      </w:r>
      <w:r>
        <w:rPr>
          <w:sz w:val="24"/>
          <w:szCs w:val="24"/>
        </w:rPr>
        <w:t xml:space="preserve">ектронной подписи.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4"/>
        <w:numPr>
          <w:ilvl w:val="1"/>
          <w:numId w:val="1"/>
        </w:numPr>
        <w:ind w:hanging="249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num" w:pos="958" w:leader="none"/>
          <w:tab w:val="left" w:pos="993" w:leader="none"/>
        </w:tabs>
        <w:rPr>
          <w:b/>
          <w:sz w:val="24"/>
        </w:rPr>
      </w:pPr>
      <w:r>
        <w:rPr>
          <w:b/>
          <w:sz w:val="24"/>
        </w:rPr>
        <w:t xml:space="preserve">Исполнитель имеет право:</w:t>
      </w:r>
      <w:r>
        <w:rPr>
          <w:b/>
          <w:sz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согласия Заказчика оказать услуги досрочно;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вып</w:t>
      </w:r>
      <w:r>
        <w:rPr>
          <w:sz w:val="24"/>
          <w:szCs w:val="24"/>
        </w:rPr>
        <w:t xml:space="preserve">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</w:t>
      </w:r>
      <w:r>
        <w:rPr>
          <w:sz w:val="24"/>
          <w:szCs w:val="24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</w:t>
      </w:r>
      <w:r>
        <w:rPr>
          <w:sz w:val="24"/>
          <w:szCs w:val="24"/>
        </w:rPr>
        <w:t xml:space="preserve">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 исполнении обязательств Исполнителя по предоставлению обеспечения исполнения обязательс</w:t>
      </w:r>
      <w:r>
        <w:rPr>
          <w:sz w:val="24"/>
          <w:szCs w:val="24"/>
        </w:rPr>
        <w:t xml:space="preserve">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</w:t>
      </w:r>
      <w:r>
        <w:rPr>
          <w:sz w:val="24"/>
          <w:szCs w:val="24"/>
        </w:rPr>
        <w:t xml:space="preserve">исполнения Исполнителем регрессных требований фактора (факторинг с правом регресса)</w:t>
      </w:r>
      <w:r>
        <w:rPr>
          <w:rStyle w:val="1158"/>
          <w:sz w:val="24"/>
          <w:szCs w:val="24"/>
        </w:rPr>
        <w:footnoteReference w:id="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</w:t>
      </w:r>
      <w:r>
        <w:rPr>
          <w:sz w:val="24"/>
          <w:szCs w:val="24"/>
        </w:rPr>
        <w:t xml:space="preserve"> сроки, установленные Договором.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11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</w:t>
      </w:r>
      <w:r>
        <w:rPr>
          <w:sz w:val="24"/>
          <w:szCs w:val="24"/>
        </w:rPr>
        <w:t xml:space="preserve">и условиями настоящего Договора.</w:t>
      </w:r>
      <w:r>
        <w:rPr>
          <w:spacing w:val="1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>
        <w:rPr>
          <w:sz w:val="24"/>
          <w:szCs w:val="24"/>
        </w:rPr>
        <w:t xml:space="preserve">5 (пяти) рабочих </w:t>
      </w:r>
      <w:r>
        <w:rPr>
          <w:sz w:val="24"/>
          <w:szCs w:val="24"/>
        </w:rPr>
        <w:t xml:space="preserve">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pacing w:val="1"/>
          <w:sz w:val="24"/>
          <w:szCs w:val="24"/>
        </w:rPr>
        <w:pBdr>
          <w:left w:val="single" w:color="000000" w:sz="4" w:space="4"/>
        </w:pBdr>
      </w:pPr>
      <w:r>
        <w:rPr>
          <w:sz w:val="24"/>
          <w:szCs w:val="24"/>
        </w:rPr>
        <w:t xml:space="preserve">Гарантийный срок на услуги устанавливается </w:t>
      </w:r>
      <w:r>
        <w:rPr>
          <w:sz w:val="24"/>
          <w:szCs w:val="24"/>
        </w:rPr>
        <w:t xml:space="preserve">в размере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пяти</w:t>
      </w:r>
      <w:r>
        <w:rPr>
          <w:sz w:val="24"/>
          <w:szCs w:val="24"/>
        </w:rPr>
        <w:t xml:space="preserve">) месяцев</w:t>
      </w:r>
      <w:r>
        <w:rPr>
          <w:sz w:val="24"/>
          <w:szCs w:val="24"/>
        </w:rPr>
        <w:t xml:space="preserve"> с даты приемки услуг</w:t>
      </w:r>
      <w:r>
        <w:rPr>
          <w:rStyle w:val="1158"/>
          <w:sz w:val="26"/>
          <w:szCs w:val="26"/>
        </w:rPr>
        <w:footnoteReference w:id="10"/>
      </w:r>
      <w:r>
        <w:rPr>
          <w:sz w:val="26"/>
          <w:szCs w:val="26"/>
        </w:rPr>
        <w:t xml:space="preserve">.</w:t>
      </w:r>
      <w:r>
        <w:rPr>
          <w:spacing w:val="1"/>
          <w:sz w:val="24"/>
          <w:szCs w:val="24"/>
        </w:rPr>
      </w:r>
    </w:p>
    <w:p>
      <w:pPr>
        <w:pStyle w:val="1122"/>
        <w:ind w:firstLine="540"/>
        <w:spacing w:after="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rStyle w:val="1158"/>
          <w:spacing w:val="1"/>
          <w:sz w:val="24"/>
          <w:szCs w:val="24"/>
        </w:rPr>
        <w:footnoteReference w:id="11"/>
      </w: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rStyle w:val="1158"/>
          <w:sz w:val="24"/>
          <w:szCs w:val="24"/>
        </w:rPr>
        <w:footnoteReference w:id="12"/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1158"/>
          <w:sz w:val="24"/>
          <w:szCs w:val="24"/>
        </w:rPr>
        <w:footnoteReference w:id="13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</w:t>
      </w:r>
      <w:r>
        <w:rPr>
          <w:sz w:val="24"/>
          <w:szCs w:val="24"/>
        </w:rPr>
        <w:t xml:space="preserve">свидетельство от 08.04.2015 № 6/2015</w:t>
      </w:r>
      <w:r>
        <w:rPr>
          <w:spacing w:val="-4"/>
          <w:sz w:val="24"/>
          <w:szCs w:val="24"/>
        </w:rPr>
        <w:t xml:space="preserve">), включены в Реестр надежных партнеров, ведут Антикоррупционную политику и развивают </w:t>
      </w:r>
      <w:r>
        <w:rPr>
          <w:spacing w:val="-4"/>
          <w:sz w:val="24"/>
          <w:szCs w:val="24"/>
        </w:rPr>
        <w:t xml:space="preserve">недопускающую</w:t>
      </w:r>
      <w:r>
        <w:rPr>
          <w:spacing w:val="-4"/>
          <w:sz w:val="24"/>
          <w:szCs w:val="24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8.2. Стороны настоящим подтверждают, что они</w:t>
      </w:r>
      <w:r>
        <w:rPr>
          <w:spacing w:val="-4"/>
          <w:sz w:val="24"/>
          <w:szCs w:val="24"/>
        </w:rPr>
        <w:t xml:space="preserve">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(указывается наименование ДЗО ПАО «Россети») по адресу</w:t>
      </w:r>
      <w:r>
        <w:rPr>
          <w:rStyle w:val="1155"/>
          <w:sz w:val="24"/>
          <w:szCs w:val="24"/>
        </w:rPr>
        <w:t xml:space="preserve">: </w:t>
      </w:r>
      <w:r>
        <w:rPr>
          <w:rStyle w:val="1155"/>
          <w:spacing w:val="-4"/>
          <w:sz w:val="24"/>
          <w:szCs w:val="24"/>
        </w:rPr>
        <w:t xml:space="preserve">https://www.rosseti-sib.ru/purchases/antikorruptsionnaya-politika/</w:t>
      </w:r>
      <w:r>
        <w:rPr>
          <w:rStyle w:val="1155"/>
          <w:spacing w:val="-4"/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полностью принимают положения Антикоррупционной политики ПАО «Россети» и ДЗО «ПАО </w:t>
      </w:r>
      <w:r>
        <w:rPr>
          <w:spacing w:val="-4"/>
          <w:sz w:val="24"/>
          <w:szCs w:val="24"/>
        </w:rPr>
        <w:t xml:space="preserve">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</w:t>
      </w:r>
      <w:r>
        <w:rPr>
          <w:spacing w:val="-4"/>
          <w:sz w:val="24"/>
          <w:szCs w:val="24"/>
        </w:rPr>
        <w:t xml:space="preserve">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i/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</w:t>
      </w:r>
      <w:r>
        <w:rPr>
          <w:spacing w:val="-4"/>
          <w:sz w:val="24"/>
          <w:szCs w:val="24"/>
        </w:rPr>
        <w:t xml:space="preserve">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spacing w:val="-4"/>
          <w:sz w:val="24"/>
          <w:szCs w:val="24"/>
          <w:lang w:val="en-US"/>
        </w:rPr>
        <w:t xml:space="preserve"> </w:t>
      </w:r>
      <w:r>
        <w:rPr>
          <w:spacing w:val="-4"/>
          <w:sz w:val="24"/>
          <w:szCs w:val="24"/>
        </w:rPr>
        <w:t xml:space="preserve"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Антикоррупцио</w:t>
      </w:r>
      <w:r>
        <w:rPr>
          <w:spacing w:val="-4"/>
          <w:sz w:val="24"/>
          <w:szCs w:val="24"/>
        </w:rPr>
        <w:t xml:space="preserve">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Cs/>
          <w:spacing w:val="-4"/>
          <w:sz w:val="24"/>
          <w:szCs w:val="24"/>
        </w:rPr>
        <w:t xml:space="preserve">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</w:t>
      </w:r>
      <w:r>
        <w:rPr>
          <w:spacing w:val="-4"/>
          <w:sz w:val="24"/>
          <w:szCs w:val="24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</w:t>
      </w:r>
      <w:r>
        <w:rPr>
          <w:spacing w:val="-4"/>
          <w:sz w:val="24"/>
          <w:szCs w:val="24"/>
        </w:rPr>
        <w:t xml:space="preserve">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</w:t>
      </w:r>
      <w:r>
        <w:rPr>
          <w:spacing w:val="-4"/>
          <w:sz w:val="24"/>
          <w:szCs w:val="24"/>
        </w:rPr>
        <w:t xml:space="preserve">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</w:t>
      </w:r>
      <w:r>
        <w:rPr>
          <w:sz w:val="24"/>
          <w:szCs w:val="24"/>
        </w:rPr>
        <w:t xml:space="preserve">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>
        <w:rPr>
          <w:rStyle w:val="1158"/>
          <w:sz w:val="24"/>
          <w:szCs w:val="24"/>
        </w:rPr>
        <w:footnoteReference w:id="14"/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1158"/>
          <w:i/>
          <w:sz w:val="24"/>
          <w:szCs w:val="24"/>
        </w:rPr>
        <w:footnoteReference w:id="15"/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</w:t>
      </w:r>
      <w:r>
        <w:rPr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</w:t>
      </w:r>
      <w:r>
        <w:rPr>
          <w:sz w:val="24"/>
          <w:szCs w:val="24"/>
        </w:rPr>
        <w:t xml:space="preserve">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1158"/>
          <w:sz w:val="24"/>
          <w:szCs w:val="24"/>
        </w:rPr>
        <w:footnoteReference w:id="16"/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</w:t>
      </w:r>
      <w:r>
        <w:rPr>
          <w:sz w:val="24"/>
          <w:szCs w:val="24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5.1.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 настоящего Договора, Заказчик вправе в одностороннем внесудебном порядке </w:t>
      </w:r>
      <w:r>
        <w:rPr>
          <w:sz w:val="24"/>
          <w:szCs w:val="24"/>
        </w:rPr>
        <w:t xml:space="preserve">без возмещения Исполнителю убытков </w:t>
      </w:r>
      <w:r>
        <w:rPr>
          <w:sz w:val="24"/>
          <w:szCs w:val="24"/>
        </w:rPr>
        <w:t xml:space="preserve">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</w:t>
      </w:r>
      <w:r>
        <w:rPr>
          <w:sz w:val="24"/>
          <w:szCs w:val="24"/>
        </w:rPr>
        <w:t xml:space="preserve">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rPr>
          <w:sz w:val="24"/>
          <w:szCs w:val="24"/>
        </w:rPr>
        <w:t xml:space="preserve">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7.2 настоящего Договора, и это повлечет: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в размере предъявленных к Заказчику </w:t>
      </w:r>
      <w:r>
        <w:rPr>
          <w:sz w:val="24"/>
          <w:szCs w:val="24"/>
        </w:rPr>
        <w:t xml:space="preserve">требований и недополученных Заказчиком сумм. При этом факт оспаривания или </w:t>
      </w:r>
      <w:r>
        <w:rPr>
          <w:sz w:val="24"/>
          <w:szCs w:val="24"/>
        </w:rPr>
        <w:t xml:space="preserve">неоспаривания</w:t>
      </w:r>
      <w:r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sz w:val="24"/>
          <w:szCs w:val="24"/>
        </w:rPr>
        <w:t xml:space="preserve">неоспаривания</w:t>
      </w:r>
      <w:r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1158"/>
          <w:sz w:val="24"/>
          <w:szCs w:val="24"/>
        </w:rPr>
        <w:footnoteReference w:id="1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rStyle w:val="1158"/>
          <w:sz w:val="24"/>
          <w:szCs w:val="24"/>
          <w:vertAlign w:val="baseline"/>
        </w:rPr>
      </w:pPr>
      <w:r>
        <w:rPr>
          <w:sz w:val="24"/>
          <w:szCs w:val="24"/>
        </w:rPr>
        <w:t xml:space="preserve">В случае установления факта предоставления Исполнителем недействительной независимой гарантии, Исполнитель уплачивает Заказчику штраф в размере двойной Ключевой ставки Центрального Банка Российской Федерации от цены Договора</w:t>
      </w:r>
      <w:r>
        <w:rPr>
          <w:rStyle w:val="1158"/>
          <w:shd w:val="clear" w:color="auto" w:fill="ffffff"/>
        </w:rPr>
        <w:footnoteReference w:id="18"/>
      </w:r>
      <w:r>
        <w:rPr>
          <w:sz w:val="24"/>
          <w:szCs w:val="24"/>
        </w:rPr>
        <w:t xml:space="preserve">.</w:t>
      </w:r>
      <w:r>
        <w:rPr>
          <w:rStyle w:val="1158"/>
          <w:sz w:val="24"/>
          <w:szCs w:val="24"/>
          <w:vertAlign w:val="baseline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  <w:pBdr>
          <w:left w:val="single" w:color="000000" w:sz="4" w:space="4"/>
        </w:pBdr>
      </w:pPr>
      <w:r>
        <w:rPr>
          <w:sz w:val="24"/>
          <w:szCs w:val="24"/>
        </w:rPr>
        <w:t xml:space="preserve">Указанные в настоящем</w:t>
      </w:r>
      <w:r>
        <w:rPr>
          <w:sz w:val="24"/>
          <w:szCs w:val="24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 xml:space="preserve">суммы обеспечения исполнения </w:t>
      </w:r>
      <w:r>
        <w:rPr>
          <w:i/>
          <w:sz w:val="24"/>
          <w:szCs w:val="24"/>
        </w:rPr>
        <w:t xml:space="preserve">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vertAlign w:val="superscript"/>
        </w:rPr>
        <w:footnoteReference w:id="19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законодательством Российской Федерации.</w:t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</w:t>
      </w:r>
      <w:r>
        <w:rPr>
          <w:sz w:val="24"/>
          <w:szCs w:val="24"/>
        </w:rPr>
        <w:t xml:space="preserve">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</w:t>
      </w:r>
      <w:r>
        <w:rPr>
          <w:sz w:val="24"/>
          <w:szCs w:val="24"/>
        </w:rPr>
        <w:t xml:space="preserve">прекращением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rStyle w:val="1158"/>
          <w:sz w:val="24"/>
          <w:szCs w:val="24"/>
        </w:rPr>
        <w:footnoteReference w:id="20"/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color w:val="282828"/>
          <w:sz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color w:val="282828"/>
          <w:sz w:val="24"/>
          <w:szCs w:val="24"/>
        </w:rPr>
        <w:t xml:space="preserve">толкования, </w:t>
      </w:r>
      <w:r>
        <w:rPr>
          <w:bCs/>
          <w:sz w:val="24"/>
          <w:szCs w:val="24"/>
        </w:rPr>
        <w:t xml:space="preserve">изменения, исполнения, нарушения, </w:t>
      </w:r>
      <w:r>
        <w:rPr>
          <w:color w:val="282828"/>
          <w:sz w:val="24"/>
        </w:rPr>
        <w:t xml:space="preserve">расторжения, прекращения и действительности, </w:t>
      </w:r>
      <w:r>
        <w:rPr>
          <w:bCs/>
          <w:sz w:val="24"/>
          <w:szCs w:val="24"/>
        </w:rPr>
        <w:t xml:space="preserve">по выбору истца </w:t>
      </w:r>
      <w:r>
        <w:rPr>
          <w:color w:val="282828"/>
          <w:sz w:val="24"/>
        </w:rPr>
        <w:t xml:space="preserve">подлежат разрешению </w:t>
      </w:r>
      <w:r>
        <w:rPr>
          <w:bCs/>
          <w:sz w:val="24"/>
          <w:szCs w:val="24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>
        <w:rPr>
          <w:color w:val="282828"/>
          <w:sz w:val="24"/>
        </w:rPr>
        <w:t xml:space="preserve">в порядке арбитража (третейского разбирательства</w:t>
      </w:r>
      <w:r>
        <w:rPr>
          <w:color w:val="282828"/>
          <w:sz w:val="24"/>
          <w:szCs w:val="24"/>
        </w:rPr>
        <w:t xml:space="preserve">) в Арбитражном центре</w:t>
      </w:r>
      <w:r>
        <w:rPr>
          <w:color w:val="282828"/>
          <w:sz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>
        <w:rPr>
          <w:color w:val="282828"/>
          <w:sz w:val="24"/>
          <w:szCs w:val="24"/>
        </w:rPr>
        <w:t xml:space="preserve">начала арбитража</w:t>
      </w:r>
      <w:r>
        <w:rPr>
          <w:rStyle w:val="1158"/>
          <w:color w:val="282828"/>
          <w:sz w:val="24"/>
          <w:szCs w:val="24"/>
        </w:rPr>
        <w:footnoteReference w:id="21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</w:t>
      </w:r>
      <w:r>
        <w:rPr>
          <w:bCs/>
          <w:sz w:val="24"/>
          <w:szCs w:val="24"/>
        </w:rPr>
        <w:t xml:space="preserve">следующим адресам электронной почты:</w:t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hyperlink r:id="rId12" w:tooltip="mailto:sbit@tv.rosseti-sib.ru" w:history="1">
        <w:r>
          <w:rPr>
            <w:rStyle w:val="1155"/>
            <w:bCs/>
            <w:sz w:val="24"/>
            <w:szCs w:val="24"/>
          </w:rPr>
          <w:t xml:space="preserve">sbit@tv.rosseti-sib.ru</w:t>
        </w:r>
      </w:hyperlink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Исполнитель: (адрес </w:t>
      </w:r>
      <w:r>
        <w:rPr>
          <w:bCs/>
          <w:sz w:val="24"/>
          <w:szCs w:val="24"/>
        </w:rPr>
        <w:t xml:space="preserve">электронной почты).</w:t>
      </w:r>
      <w:r>
        <w:rPr>
          <w:bCs/>
          <w:sz w:val="24"/>
          <w:szCs w:val="24"/>
        </w:rPr>
      </w:r>
    </w:p>
    <w:p>
      <w:pPr>
        <w:ind w:firstLine="703"/>
        <w:jc w:val="both"/>
        <w:shd w:val="clear" w:color="auto" w:fill="ffffff"/>
        <w:rPr>
          <w:color w:val="282828"/>
          <w:sz w:val="24"/>
          <w:szCs w:val="24"/>
        </w:rPr>
      </w:pPr>
      <w:r>
        <w:rPr>
          <w:color w:val="282828"/>
          <w:sz w:val="24"/>
          <w:szCs w:val="24"/>
        </w:rPr>
        <w:t xml:space="preserve">Вынесенное третейским судом решение будет окончательным и обязательным для </w:t>
      </w:r>
      <w:r>
        <w:rPr>
          <w:color w:val="282828"/>
          <w:sz w:val="24"/>
          <w:szCs w:val="24"/>
        </w:rPr>
        <w:t xml:space="preserve">Сторон.</w:t>
      </w:r>
      <w:r>
        <w:rPr>
          <w:color w:val="282828"/>
          <w:sz w:val="24"/>
          <w:szCs w:val="24"/>
        </w:rPr>
      </w:r>
    </w:p>
    <w:p>
      <w:pPr>
        <w:contextualSpacing/>
        <w:ind w:firstLine="709"/>
        <w:jc w:val="both"/>
        <w:rPr>
          <w:bCs/>
          <w:i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>
        <w:rPr>
          <w:color w:val="282828"/>
          <w:sz w:val="24"/>
          <w:szCs w:val="24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bCs/>
          <w:i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>
        <w:rPr>
          <w:sz w:val="24"/>
          <w:szCs w:val="24"/>
        </w:rPr>
        <w:t xml:space="preserve">15</w:t>
      </w:r>
      <w:r>
        <w:rPr>
          <w:sz w:val="24"/>
          <w:szCs w:val="24"/>
        </w:rPr>
        <w:t xml:space="preserve"> календарных дней 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Спор по имущественным </w:t>
      </w:r>
      <w:r>
        <w:rPr>
          <w:rFonts w:eastAsia="Calibri"/>
          <w:sz w:val="24"/>
          <w:szCs w:val="24"/>
        </w:rPr>
        <w:t xml:space="preserve">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</w:t>
      </w:r>
      <w:r>
        <w:rPr>
          <w:rFonts w:eastAsia="Calibri"/>
          <w:sz w:val="24"/>
          <w:szCs w:val="24"/>
        </w:rPr>
        <w:t xml:space="preserve"> 15</w:t>
      </w:r>
      <w:r>
        <w:rPr>
          <w:rFonts w:eastAsia="Calibri"/>
          <w:sz w:val="24"/>
          <w:szCs w:val="24"/>
        </w:rPr>
        <w:t xml:space="preserve"> календарных дней с </w:t>
      </w:r>
      <w:r>
        <w:rPr>
          <w:rFonts w:eastAsia="Calibri"/>
          <w:sz w:val="24"/>
          <w:szCs w:val="24"/>
        </w:rPr>
        <w:t xml:space="preserve">даты</w:t>
      </w:r>
      <w:r>
        <w:rPr>
          <w:rFonts w:eastAsia="Calibri"/>
          <w:sz w:val="24"/>
          <w:szCs w:val="24"/>
        </w:rPr>
        <w:t xml:space="preserve"> направления </w:t>
      </w:r>
      <w:r>
        <w:rPr>
          <w:spacing w:val="-2"/>
          <w:sz w:val="24"/>
          <w:szCs w:val="24"/>
        </w:rPr>
        <w:t xml:space="preserve"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претензии (требования) Исполнителю</w:t>
      </w:r>
      <w:r>
        <w:rPr>
          <w:rStyle w:val="1158"/>
          <w:rFonts w:eastAsia="Calibri"/>
          <w:sz w:val="24"/>
          <w:szCs w:val="24"/>
        </w:rPr>
        <w:footnoteReference w:id="22"/>
      </w:r>
      <w:r>
        <w:rPr>
          <w:rFonts w:eastAsia="Calibri"/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154"/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sz w:val="24"/>
          <w:szCs w:val="24"/>
        </w:rPr>
      </w:r>
      <w:r>
        <w:rPr>
          <w:rFonts w:eastAsia="Calibri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неисполнения Исполнителем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обязанностей, установленных п. 5.1.8. настоящего Договора, АО «Россети Сибирь Тываэнерго» вправе в одностороннем внесудебном порядке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без возмещения Исполнителю</w:t>
      </w:r>
      <w:r>
        <w:rPr>
          <w:rFonts w:ascii="Times" w:hAnsi="Times" w:cs="Times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убытков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отказаться от исполнения настоящего Договора, письменно уведомив об этом </w:t>
      </w:r>
      <w:r>
        <w:rPr>
          <w:rFonts w:ascii="Times" w:hAnsi="Times" w:cs="Times"/>
          <w:color w:val="000000"/>
          <w:sz w:val="24"/>
          <w:szCs w:val="24"/>
          <w:highlight w:val="white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Договор считается расторгнутым по истечении 5 (пяти) календарных дней с момента получения Исполнителем</w:t>
      </w:r>
      <w:r>
        <w:rPr>
          <w:rFonts w:ascii="Times" w:hAnsi="Times" w:cs="Times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указанного письменного уведомления АО 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Россети Сибирь Тываэнерго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390" w:firstLine="0"/>
        <w:jc w:val="both"/>
        <w:tabs>
          <w:tab w:val="num" w:pos="1241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/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</w:t>
      </w:r>
      <w:r>
        <w:rPr>
          <w:sz w:val="24"/>
          <w:szCs w:val="24"/>
        </w:rPr>
        <w:t xml:space="preserve">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потерей интереса в настоящем пункте Стор</w:t>
      </w:r>
      <w:r>
        <w:rPr>
          <w:sz w:val="24"/>
          <w:szCs w:val="24"/>
        </w:rPr>
        <w:t xml:space="preserve">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</w:t>
      </w:r>
      <w:r>
        <w:rPr>
          <w:sz w:val="24"/>
          <w:szCs w:val="24"/>
        </w:rPr>
        <w:t xml:space="preserve">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</w:t>
      </w:r>
      <w:r>
        <w:rPr>
          <w:sz w:val="24"/>
          <w:szCs w:val="24"/>
        </w:rPr>
        <w:t xml:space="preserve">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</w:t>
      </w:r>
      <w:r>
        <w:rPr>
          <w:sz w:val="24"/>
          <w:szCs w:val="24"/>
        </w:rPr>
        <w:t xml:space="preserve">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</w:t>
      </w:r>
      <w:r>
        <w:rPr>
          <w:rStyle w:val="1158"/>
          <w:sz w:val="24"/>
          <w:szCs w:val="24"/>
        </w:rPr>
        <w:footnoteReference w:id="23"/>
      </w:r>
      <w:r>
        <w:rPr>
          <w:sz w:val="24"/>
          <w:szCs w:val="24"/>
        </w:rPr>
        <w:t xml:space="preserve">.</w:t>
      </w:r>
      <w:r>
        <w:rPr>
          <w:sz w:val="26"/>
          <w:szCs w:val="26"/>
        </w:rPr>
        <w:t xml:space="preserve">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clear" w:pos="11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</w:t>
      </w:r>
      <w:r>
        <w:rPr>
          <w:sz w:val="24"/>
          <w:szCs w:val="24"/>
        </w:rPr>
        <w:t xml:space="preserve">настоящему Договору: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ПРАЙС-ЛИСТ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оргтехники.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Форма</w:t>
      </w:r>
      <w:r>
        <w:rPr>
          <w:sz w:val="24"/>
          <w:szCs w:val="24"/>
        </w:rPr>
        <w:t xml:space="preserve"> акта сдачи-приемки оказанных услуг.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Форма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Предоставление информации в Минэнерго России по исполнению пп. 5.1.10</w:t>
      </w:r>
      <w:r>
        <w:rPr>
          <w:color w:val="000000"/>
          <w:sz w:val="24"/>
          <w:szCs w:val="24"/>
        </w:rPr>
        <w:t xml:space="preserve">».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Форма «Согласие на обработку персональных данных».</w:t>
      </w:r>
      <w:r>
        <w:rPr>
          <w:color w:val="000000"/>
          <w:sz w:val="24"/>
          <w:szCs w:val="24"/>
        </w:rPr>
      </w:r>
    </w:p>
    <w:p>
      <w:pPr>
        <w:jc w:val="both"/>
        <w:tabs>
          <w:tab w:val="left" w:pos="1092" w:leader="none"/>
        </w:tabs>
        <w:rPr>
          <w:sz w:val="24"/>
          <w:szCs w:val="24"/>
        </w:rPr>
      </w:pPr>
      <w:r/>
      <w:bookmarkStart w:id="2" w:name="_GoBack"/>
      <w:r/>
      <w:bookmarkEnd w:id="2"/>
      <w:r/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pStyle w:val="1088"/>
              <w:ind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  <w:p>
            <w:pPr>
              <w:pStyle w:val="1088"/>
              <w:keepNext w:val="0"/>
              <w:widowControl w:val="off"/>
              <w:tabs>
                <w:tab w:val="left" w:pos="1134" w:leader="none"/>
              </w:tabs>
              <w:rPr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____________________________________________________________________________________</w:t>
            </w:r>
            <w:r>
              <w:rPr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088"/>
              <w:ind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pStyle w:val="1088"/>
              <w:ind w:left="34" w:right="317" w:firstLine="148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10281" w:type="dxa"/>
                  <w:textDirection w:val="lrTb"/>
                  <w:noWrap w:val="false"/>
                </w:tcPr>
                <w:p>
                  <w:pPr>
                    <w:pStyle w:val="1088"/>
                    <w:ind w:left="34"/>
                    <w:jc w:val="both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АО «Россети Сибирь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  <w:lang w:val="en-US"/>
                    </w:rPr>
                    <w:t xml:space="preserve">Тываэнерго</w:t>
                  </w:r>
                  <w:r>
                    <w:rPr>
                      <w:b/>
                      <w:sz w:val="24"/>
                    </w:rPr>
                    <w:t xml:space="preserve">»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ind w:left="34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4"/>
                    <w:jc w:val="both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66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7001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r>
                    <w:rPr>
                      <w:sz w:val="24"/>
                      <w:szCs w:val="24"/>
                    </w:rPr>
                    <w:t xml:space="preserve">Республика Тыва</w:t>
                  </w:r>
                  <w:r>
                    <w:rPr>
                      <w:sz w:val="24"/>
                      <w:szCs w:val="24"/>
                    </w:rPr>
                    <w:t xml:space="preserve">, г. </w:t>
                  </w:r>
                  <w:r>
                    <w:rPr>
                      <w:sz w:val="24"/>
                      <w:szCs w:val="24"/>
                    </w:rPr>
                    <w:t xml:space="preserve">Кызыл</w:t>
                  </w:r>
                  <w:r>
                    <w:rPr>
                      <w:sz w:val="24"/>
                      <w:szCs w:val="24"/>
                    </w:rPr>
                    <w:t xml:space="preserve">, 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4"/>
                    <w:jc w:val="both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ул. </w:t>
                  </w:r>
                  <w:r>
                    <w:rPr>
                      <w:sz w:val="24"/>
                      <w:szCs w:val="24"/>
                    </w:rPr>
                    <w:t xml:space="preserve">Рабочая</w:t>
                  </w:r>
                  <w:r>
                    <w:rPr>
                      <w:sz w:val="24"/>
                      <w:szCs w:val="24"/>
                    </w:rPr>
                    <w:t xml:space="preserve">, д. </w:t>
                  </w: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4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1701029232</w:t>
                  </w:r>
                  <w:r>
                    <w:rPr>
                      <w:sz w:val="24"/>
                      <w:szCs w:val="24"/>
                    </w:rPr>
                    <w:t xml:space="preserve">/</w:t>
                  </w:r>
                  <w:r>
                    <w:rPr>
                      <w:sz w:val="24"/>
                      <w:szCs w:val="24"/>
                    </w:rPr>
                    <w:t xml:space="preserve">170101001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4"/>
                    <w:jc w:val="both"/>
                    <w:shd w:val="clear" w:color="auto" w:fill="ffffff" w:themeFill="background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Банковские реквизиты: </w:t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ind w:left="34"/>
                    <w:jc w:val="both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 </w:t>
                  </w:r>
                  <w:r>
                    <w:rPr>
                      <w:sz w:val="24"/>
                      <w:szCs w:val="24"/>
                    </w:rPr>
                    <w:t xml:space="preserve">40702810065000100511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4"/>
                    <w:jc w:val="both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Красноярское отделение № 8646 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4"/>
                    <w:jc w:val="both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ПАО Сбербанк г. Красноярск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4"/>
                    <w:jc w:val="both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 30101810800000000627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left="34"/>
                    <w:shd w:val="clear" w:color="auto" w:fill="ffffff" w:themeFill="background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 040407627</w:t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088"/>
              <w:ind w:left="182"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82"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82"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82"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82"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82"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82" w:right="317"/>
              <w:keepNext w:val="0"/>
              <w:widowControl w:val="off"/>
              <w:tabs>
                <w:tab w:val="left" w:pos="1134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ind w:firstLine="567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оказания услуг </w:t>
      </w:r>
      <w:r>
        <w:rPr>
          <w:sz w:val="24"/>
          <w:szCs w:val="24"/>
        </w:rPr>
        <w:t xml:space="preserve">по техническому обслуживанию и ремонту оргтехники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3"/>
        <w:gridCol w:w="7597"/>
        <w:gridCol w:w="1707"/>
      </w:tblGrid>
      <w:tr>
        <w:tblPrEx/>
        <w:trPr>
          <w:trHeight w:val="375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jc w:val="center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№ п/п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center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center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Предельная цена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  <w:p>
            <w:pPr>
              <w:jc w:val="center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за ед., без НДС руб.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1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МФУ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M2535dn 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M2540dn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 </w:t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резинового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 тефлонового вала/</w:t>
            </w:r>
            <w:r>
              <w:t xml:space="preserve">термопленки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узла закрепления изображения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ролика подачи бумаги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двигателя узла сканирования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электроники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платы </w:t>
            </w:r>
            <w:r>
              <w:t xml:space="preserve">форматтера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драм-юнита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</w:t>
            </w:r>
            <w:r>
              <w:t xml:space="preserve">ремкомплекта</w:t>
            </w:r>
            <w:r>
              <w:t xml:space="preserve"> 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блока проявки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2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МФУ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M2735dn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резинового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 тефлонового вала/</w:t>
            </w:r>
            <w:r>
              <w:t xml:space="preserve">термопленки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узла закрепления изображения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ролика подачи бумаги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двигателя узла сканирования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электроники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платы </w:t>
            </w:r>
            <w:r>
              <w:t xml:space="preserve">форматтера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драм-юнита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блока проявки 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редуктора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модуля дуплекса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комплекта роликов АПД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3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МФУ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M3145dn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резинового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 тефлонового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узла закрепления изображения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ролика подачи бумаги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двигателя узла сканирования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электроники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платы </w:t>
            </w:r>
            <w:r>
              <w:t xml:space="preserve">форматтера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драм-юнита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блока проявки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редуктора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модуля дуплекса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комплекта роликов АПД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4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МФУ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M3540dn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резинового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 тефлонового вала/</w:t>
            </w:r>
            <w:r>
              <w:t xml:space="preserve">термопленки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узла закрепления изображения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ролика подачи бумаги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двигателя узла сканирования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электроники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платы </w:t>
            </w:r>
            <w:r>
              <w:t xml:space="preserve">форматтера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драм-юнита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блока проявки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редуктора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модуля дуплекса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комплекта роликов АПД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5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принтеров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FS-2020dn, 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FS-4200dn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резинового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 тефлонового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узла закрепления изображения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ролика подачи бумаги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двигателя узла сканирования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электроники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платы </w:t>
            </w:r>
            <w:r>
              <w:t xml:space="preserve">форматтера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драм-юнита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блока проявки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редуктора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модуля дуплекса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комплекта роликов АПД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6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принтеров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P2040dn,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P2335dn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резинового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 тефлонового вала/</w:t>
            </w:r>
            <w:r>
              <w:t xml:space="preserve">термопленки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узла закрепления изображения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ролика подачи бумаги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сканирующего узла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двигателя узла сканирования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электроники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платы </w:t>
            </w:r>
            <w:r>
              <w:t xml:space="preserve">форматтера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драм-юнита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</w:t>
            </w:r>
            <w:r>
              <w:t xml:space="preserve">ремкомплекта</w:t>
            </w:r>
            <w:r>
              <w:t xml:space="preserve"> 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блока проявки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9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7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 Техническое обслуживание и ремонт принтеров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P3050dn,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P3145dn,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P3150dn,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P3540dn, </w:t>
            </w:r>
            <w:r>
              <w:rPr>
                <w:b/>
                <w:bCs/>
              </w:rPr>
              <w:t xml:space="preserve">Kyocera</w:t>
            </w:r>
            <w:r>
              <w:rPr>
                <w:b/>
                <w:bCs/>
              </w:rPr>
              <w:t xml:space="preserve"> ECOSYS P3560dn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резинового вала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 тефлонового вала/</w:t>
            </w:r>
            <w:r>
              <w:t xml:space="preserve">термопленки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узла закрепления изображения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ролика подачи бумаги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электроники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платы </w:t>
            </w:r>
            <w:r>
              <w:t xml:space="preserve">форматтера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лазера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драм-юнита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</w:t>
            </w:r>
            <w:r>
              <w:t xml:space="preserve">ремкомплекта</w:t>
            </w:r>
            <w:r>
              <w:t xml:space="preserve"> 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блока проявки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1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8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мониторов с диагональю 22"-24": </w:t>
            </w:r>
            <w:r>
              <w:rPr>
                <w:b/>
                <w:bCs/>
              </w:rPr>
              <w:t xml:space="preserve">Acer</w:t>
            </w:r>
            <w:r>
              <w:rPr>
                <w:b/>
                <w:bCs/>
              </w:rPr>
              <w:t xml:space="preserve"> V243HL,Acer V246HL, AOC 236LM, AOC e2440V, АОС e2460SH, АОС е2495S, АОС g2460V, АОС М2470SWH, </w:t>
            </w:r>
            <w:r>
              <w:rPr>
                <w:b/>
                <w:bCs/>
              </w:rPr>
              <w:t xml:space="preserve">Benq</w:t>
            </w:r>
            <w:r>
              <w:rPr>
                <w:b/>
                <w:bCs/>
              </w:rPr>
              <w:t xml:space="preserve"> G2420, </w:t>
            </w:r>
            <w:r>
              <w:rPr>
                <w:b/>
                <w:bCs/>
              </w:rPr>
              <w:t xml:space="preserve">Benq</w:t>
            </w:r>
            <w:r>
              <w:rPr>
                <w:b/>
                <w:bCs/>
              </w:rPr>
              <w:t xml:space="preserve"> G2440, </w:t>
            </w:r>
            <w:r>
              <w:rPr>
                <w:b/>
                <w:bCs/>
              </w:rPr>
              <w:t xml:space="preserve">Benq</w:t>
            </w:r>
            <w:r>
              <w:rPr>
                <w:b/>
                <w:bCs/>
              </w:rPr>
              <w:t xml:space="preserve"> G2450, </w:t>
            </w:r>
            <w:r>
              <w:rPr>
                <w:b/>
                <w:bCs/>
              </w:rPr>
              <w:t xml:space="preserve">Benq</w:t>
            </w:r>
            <w:r>
              <w:rPr>
                <w:b/>
                <w:bCs/>
              </w:rPr>
              <w:t xml:space="preserve"> GL2460, LG E2411, </w:t>
            </w:r>
            <w:r>
              <w:rPr>
                <w:b/>
                <w:bCs/>
              </w:rPr>
              <w:t xml:space="preserve">Philips</w:t>
            </w:r>
            <w:r>
              <w:rPr>
                <w:b/>
                <w:bCs/>
              </w:rPr>
              <w:t xml:space="preserve"> 243V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блока питания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инвертора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матрицы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лампы подсветки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шлейфа матрицы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9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мониторов с диагональю 25"-27": </w:t>
            </w:r>
            <w:r>
              <w:rPr>
                <w:b/>
                <w:bCs/>
              </w:rPr>
              <w:t xml:space="preserve">Samsung</w:t>
            </w:r>
            <w:r>
              <w:rPr>
                <w:b/>
                <w:bCs/>
              </w:rPr>
              <w:t xml:space="preserve"> S27D590       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блока питания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инвертора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матрицы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лампы подсветки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шлейфа матрицы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10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мониторов с диагональю 27"-42" : </w:t>
            </w:r>
            <w:r>
              <w:rPr>
                <w:b/>
                <w:bCs/>
              </w:rPr>
              <w:t xml:space="preserve">ViewSonic</w:t>
            </w:r>
            <w:r>
              <w:rPr>
                <w:b/>
                <w:bCs/>
              </w:rPr>
              <w:t xml:space="preserve"> VX3211-mh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блока питания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инвертора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матрицы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лампы подсветки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шлейфа матрицы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8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11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Техническое обслуживание и ремонт ИБП </w:t>
            </w:r>
            <w:r>
              <w:rPr>
                <w:b/>
                <w:bCs/>
              </w:rPr>
              <w:t xml:space="preserve">мошностью</w:t>
            </w:r>
            <w:r>
              <w:rPr>
                <w:b/>
                <w:bCs/>
              </w:rPr>
              <w:t xml:space="preserve"> до 750Вт: 3Cott, APC </w:t>
            </w:r>
            <w:r>
              <w:rPr>
                <w:b/>
                <w:bCs/>
              </w:rPr>
              <w:t xml:space="preserve">Back</w:t>
            </w:r>
            <w:r>
              <w:rPr>
                <w:b/>
                <w:bCs/>
              </w:rPr>
              <w:t xml:space="preserve">-UPS ES 700VA, APC </w:t>
            </w:r>
            <w:r>
              <w:rPr>
                <w:b/>
                <w:bCs/>
              </w:rPr>
              <w:t xml:space="preserve">Back</w:t>
            </w:r>
            <w:r>
              <w:rPr>
                <w:b/>
                <w:bCs/>
              </w:rPr>
              <w:t xml:space="preserve">-UPS ES 525VA, APC </w:t>
            </w:r>
            <w:r>
              <w:rPr>
                <w:b/>
                <w:bCs/>
              </w:rPr>
              <w:t xml:space="preserve">Back</w:t>
            </w:r>
            <w:r>
              <w:rPr>
                <w:b/>
                <w:bCs/>
              </w:rPr>
              <w:t xml:space="preserve">-UPS CS 500VA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внутренних элементов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Устранение неконтактов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1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vMerge w:val="restart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12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</w:rPr>
              <w:t xml:space="preserve">Техническое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обслуживание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и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ремонт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ИБП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мошностью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от</w:t>
            </w:r>
            <w:r>
              <w:rPr>
                <w:b/>
                <w:bCs/>
                <w:lang w:val="en-US"/>
              </w:rPr>
              <w:t xml:space="preserve"> 750</w:t>
            </w:r>
            <w:r>
              <w:rPr>
                <w:b/>
                <w:bCs/>
              </w:rPr>
              <w:t xml:space="preserve">Вт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до</w:t>
            </w:r>
            <w:r>
              <w:rPr>
                <w:b/>
                <w:bCs/>
                <w:lang w:val="en-US"/>
              </w:rPr>
              <w:t xml:space="preserve"> 3000</w:t>
            </w:r>
            <w:r>
              <w:rPr>
                <w:b/>
                <w:bCs/>
              </w:rPr>
              <w:t xml:space="preserve">Вт</w:t>
            </w:r>
            <w:r>
              <w:rPr>
                <w:b/>
                <w:bCs/>
                <w:lang w:val="en-US"/>
              </w:rPr>
              <w:t xml:space="preserve">:     </w:t>
            </w:r>
            <w:r>
              <w:rPr>
                <w:b/>
                <w:bCs/>
                <w:lang w:val="en-US"/>
              </w:rPr>
              <w:t xml:space="preserve">Ippon</w:t>
            </w:r>
            <w:r>
              <w:rPr>
                <w:b/>
                <w:bCs/>
                <w:lang w:val="en-US"/>
              </w:rPr>
              <w:t xml:space="preserve"> Back Power Pro 800, </w:t>
            </w:r>
            <w:r>
              <w:rPr>
                <w:b/>
                <w:bCs/>
                <w:lang w:val="en-US"/>
              </w:rPr>
              <w:t xml:space="preserve">Ippon</w:t>
            </w:r>
            <w:r>
              <w:rPr>
                <w:b/>
                <w:bCs/>
                <w:lang w:val="en-US"/>
              </w:rPr>
              <w:t xml:space="preserve"> Smart Power Pro 1000, </w:t>
            </w:r>
            <w:r>
              <w:rPr>
                <w:b/>
                <w:bCs/>
                <w:lang w:val="en-US"/>
              </w:rPr>
              <w:t xml:space="preserve">Ippon</w:t>
            </w:r>
            <w:r>
              <w:rPr>
                <w:b/>
                <w:bCs/>
                <w:lang w:val="en-US"/>
              </w:rPr>
              <w:t xml:space="preserve"> Smart Power Pro 1000, </w:t>
            </w:r>
            <w:r>
              <w:rPr>
                <w:b/>
                <w:bCs/>
                <w:lang w:val="en-US"/>
              </w:rPr>
              <w:t xml:space="preserve">Ippon</w:t>
            </w:r>
            <w:r>
              <w:rPr>
                <w:b/>
                <w:bCs/>
                <w:lang w:val="en-US"/>
              </w:rPr>
              <w:t xml:space="preserve"> Smart Power Pro 1400, </w:t>
            </w:r>
            <w:r>
              <w:rPr>
                <w:b/>
                <w:bCs/>
                <w:lang w:val="en-US"/>
              </w:rPr>
              <w:t xml:space="preserve">Ippon</w:t>
            </w:r>
            <w:r>
              <w:rPr>
                <w:b/>
                <w:bCs/>
                <w:lang w:val="en-US"/>
              </w:rPr>
              <w:t xml:space="preserve"> Smart Power Pro 2000, </w:t>
            </w:r>
            <w:r>
              <w:rPr>
                <w:b/>
                <w:bCs/>
                <w:lang w:val="en-US"/>
              </w:rPr>
              <w:t xml:space="preserve">PowerCom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Back-UPS</w:t>
            </w:r>
            <w:r>
              <w:rPr>
                <w:b/>
                <w:bCs/>
                <w:lang w:val="en-US"/>
              </w:rPr>
              <w:t xml:space="preserve"> SPIDER SPD-850, SVEN Power Pro+ 825</w:t>
            </w:r>
            <w:r>
              <w:rPr>
                <w:b/>
                <w:bCs/>
                <w:sz w:val="22"/>
                <w:szCs w:val="22"/>
                <w:lang w:val="en-US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</w:r>
            <w:r>
              <w:rPr>
                <w:b/>
                <w:bCs/>
                <w:sz w:val="22"/>
                <w:szCs w:val="22"/>
                <w:lang w:val="en-US"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</w:r>
            <w:r>
              <w:rPr>
                <w:sz w:val="22"/>
                <w:szCs w:val="22"/>
                <w:lang w:val="en-US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 w:val="false"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Замена внутренних элементов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входных/выходных разъемов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зарядного устройства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инвертора (простой ремонт)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5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инвертора (ремонт средней сложности)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инвертора (ремонт высокой сложности)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управления  (простой ремонт)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управления  (ремонт средней сложности)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Ремонт платы управления  ремонт высокой сложности)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0" w:type="dxa"/>
            <w:textDirection w:val="lrTb"/>
            <w:noWrap/>
          </w:tcPr>
          <w:p>
            <w:pPr>
              <w:jc w:val="both"/>
              <w:keepNext/>
              <w:rPr>
                <w:sz w:val="22"/>
                <w:szCs w:val="22"/>
                <w:lang w:eastAsia="en-US"/>
              </w:rPr>
            </w:pPr>
            <w:r>
              <w:t xml:space="preserve">Устранение неконтактов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</w:r>
            <w:r>
              <w:rPr>
                <w:b/>
                <w:bCs/>
                <w:sz w:val="22"/>
                <w:szCs w:val="22"/>
                <w:lang w:eastAsia="en-US"/>
              </w:rPr>
            </w:r>
          </w:p>
        </w:tc>
      </w:tr>
    </w:tbl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259" w:lineRule="auto"/>
        <w:widowControl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оказания услуг </w:t>
      </w:r>
      <w:r>
        <w:rPr>
          <w:sz w:val="24"/>
          <w:szCs w:val="24"/>
        </w:rPr>
        <w:t xml:space="preserve">по техническому обслуживанию и ремонту оргтехники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ОТ</w:t>
      </w:r>
      <w:r>
        <w:rPr>
          <w:b/>
          <w:sz w:val="24"/>
          <w:szCs w:val="24"/>
        </w:rPr>
      </w:r>
    </w:p>
    <w:p>
      <w:pPr>
        <w:jc w:val="center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184" w:type="dxa"/>
        <w:jc w:val="center"/>
        <w:tblInd w:w="-4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84"/>
      </w:tblGrid>
      <w:tr>
        <w:tblPrEx/>
        <w:trPr>
          <w:jc w:val="center"/>
          <w:trHeight w:val="3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Наименование оргтехники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МФУ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M2535dn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M2540dn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МФУ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M2735dn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МФУ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M3145dn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МФУ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M3540dn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FS-2020dn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FS-4200dn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P2335dn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P2040dn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P3050dn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P3145dn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P3050dn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P3145dn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P3150dn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P3540dn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лазерный </w:t>
            </w:r>
            <w:r>
              <w:rPr>
                <w:sz w:val="24"/>
                <w:szCs w:val="24"/>
              </w:rPr>
              <w:t xml:space="preserve">Kyocera</w:t>
            </w:r>
            <w:r>
              <w:rPr>
                <w:sz w:val="24"/>
                <w:szCs w:val="24"/>
              </w:rPr>
              <w:t xml:space="preserve"> ECOSYS P3560dn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Acer</w:t>
            </w:r>
            <w:r>
              <w:rPr>
                <w:sz w:val="24"/>
                <w:szCs w:val="24"/>
              </w:rPr>
              <w:t xml:space="preserve"> V243HL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Acer</w:t>
            </w:r>
            <w:r>
              <w:rPr>
                <w:sz w:val="24"/>
                <w:szCs w:val="24"/>
              </w:rPr>
              <w:t xml:space="preserve"> V246HL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AOC 236LM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AOC e2440V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АОС e2460SH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АОС е2495S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АОС g2460V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АОС М2470SWH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Benq</w:t>
            </w:r>
            <w:r>
              <w:rPr>
                <w:sz w:val="24"/>
                <w:szCs w:val="24"/>
              </w:rPr>
              <w:t xml:space="preserve"> G2420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Benq</w:t>
            </w:r>
            <w:r>
              <w:rPr>
                <w:sz w:val="24"/>
                <w:szCs w:val="24"/>
              </w:rPr>
              <w:t xml:space="preserve"> G2440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Benq</w:t>
            </w:r>
            <w:r>
              <w:rPr>
                <w:sz w:val="24"/>
                <w:szCs w:val="24"/>
              </w:rPr>
              <w:t xml:space="preserve"> G2450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Benq</w:t>
            </w:r>
            <w:r>
              <w:rPr>
                <w:sz w:val="24"/>
                <w:szCs w:val="24"/>
              </w:rPr>
              <w:t xml:space="preserve"> GL2460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LG E2411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Philips</w:t>
            </w:r>
            <w:r>
              <w:rPr>
                <w:sz w:val="24"/>
                <w:szCs w:val="24"/>
              </w:rPr>
              <w:t xml:space="preserve"> 243V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Samsung</w:t>
            </w:r>
            <w:r>
              <w:rPr>
                <w:sz w:val="24"/>
                <w:szCs w:val="24"/>
              </w:rPr>
              <w:t xml:space="preserve"> S27D590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 </w:t>
            </w:r>
            <w:r>
              <w:rPr>
                <w:sz w:val="24"/>
                <w:szCs w:val="24"/>
              </w:rPr>
              <w:t xml:space="preserve">ViewSonic</w:t>
            </w:r>
            <w:r>
              <w:rPr>
                <w:sz w:val="24"/>
                <w:szCs w:val="24"/>
              </w:rPr>
              <w:t xml:space="preserve"> VX3211-mh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 3Cot</w:t>
            </w:r>
            <w:r>
              <w:rPr>
                <w:sz w:val="24"/>
                <w:szCs w:val="24"/>
                <w:lang w:val="en-US"/>
              </w:rPr>
              <w:t xml:space="preserve">t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APC </w:t>
            </w:r>
            <w:r>
              <w:rPr>
                <w:sz w:val="24"/>
                <w:szCs w:val="24"/>
                <w:lang w:val="en-US"/>
              </w:rPr>
              <w:t xml:space="preserve">Back-UPS</w:t>
            </w:r>
            <w:r>
              <w:rPr>
                <w:sz w:val="24"/>
                <w:szCs w:val="24"/>
                <w:lang w:val="en-US"/>
              </w:rPr>
              <w:t xml:space="preserve"> ES 700VA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APC </w:t>
            </w:r>
            <w:r>
              <w:rPr>
                <w:sz w:val="24"/>
                <w:szCs w:val="24"/>
                <w:lang w:val="en-US"/>
              </w:rPr>
              <w:t xml:space="preserve">Back-UPS</w:t>
            </w:r>
            <w:r>
              <w:rPr>
                <w:sz w:val="24"/>
                <w:szCs w:val="24"/>
                <w:lang w:val="en-US"/>
              </w:rPr>
              <w:t xml:space="preserve"> ES 525VA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APC </w:t>
            </w:r>
            <w:r>
              <w:rPr>
                <w:sz w:val="24"/>
                <w:szCs w:val="24"/>
                <w:lang w:val="en-US"/>
              </w:rPr>
              <w:t xml:space="preserve">Back-UPS</w:t>
            </w:r>
            <w:r>
              <w:rPr>
                <w:sz w:val="24"/>
                <w:szCs w:val="24"/>
                <w:lang w:val="en-US"/>
              </w:rPr>
              <w:t xml:space="preserve"> CS 500VA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Ippon</w:t>
            </w:r>
            <w:r>
              <w:rPr>
                <w:sz w:val="24"/>
                <w:szCs w:val="24"/>
                <w:lang w:val="en-US"/>
              </w:rPr>
              <w:t xml:space="preserve"> Back Power Pro 800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Ippon</w:t>
            </w:r>
            <w:r>
              <w:rPr>
                <w:sz w:val="24"/>
                <w:szCs w:val="24"/>
                <w:lang w:val="en-US"/>
              </w:rPr>
              <w:t xml:space="preserve"> Smart Power Pro 1000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Ippon</w:t>
            </w:r>
            <w:r>
              <w:rPr>
                <w:sz w:val="24"/>
                <w:szCs w:val="24"/>
                <w:lang w:val="en-US"/>
              </w:rPr>
              <w:t xml:space="preserve"> Smart Power Pro 1000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Ippon</w:t>
            </w:r>
            <w:r>
              <w:rPr>
                <w:sz w:val="24"/>
                <w:szCs w:val="24"/>
                <w:lang w:val="en-US"/>
              </w:rPr>
              <w:t xml:space="preserve"> Smart Power Pro 1400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Ippon</w:t>
            </w:r>
            <w:r>
              <w:rPr>
                <w:sz w:val="24"/>
                <w:szCs w:val="24"/>
                <w:lang w:val="en-US"/>
              </w:rPr>
              <w:t xml:space="preserve"> Smart Power Pro 2000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PowerCom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Back-UPS</w:t>
            </w:r>
            <w:r>
              <w:rPr>
                <w:sz w:val="24"/>
                <w:szCs w:val="24"/>
                <w:lang w:val="en-US"/>
              </w:rPr>
              <w:t xml:space="preserve"> SPIDER SPD-850</w:t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8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ИБП</w:t>
            </w:r>
            <w:r>
              <w:rPr>
                <w:sz w:val="24"/>
                <w:szCs w:val="24"/>
                <w:lang w:val="en-US"/>
              </w:rPr>
              <w:t xml:space="preserve"> SVEN Power Pro+ 825</w:t>
            </w: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851" w:right="851" w:bottom="851" w:left="1474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на оказания услуг по техническому обслуживанию и ремонту оргтехники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Акта сдачи-приемки оказанных услуг</w:t>
      </w:r>
      <w:r>
        <w:rPr>
          <w:rStyle w:val="1158"/>
          <w:sz w:val="24"/>
          <w:szCs w:val="24"/>
        </w:rPr>
        <w:footnoteReference w:id="24"/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1088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8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088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88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№4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на оказания услуг по техническому обслуживанию и ремонту оргтехники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jc w:val="center"/>
      </w:pPr>
      <w:r>
        <w:t xml:space="preserve">ФОРМА</w:t>
      </w:r>
      <w:r/>
    </w:p>
    <w:p>
      <w:pPr>
        <w:ind w:left="0" w:right="0" w:firstLine="0"/>
        <w:jc w:val="center"/>
        <w:spacing w:after="0" w:afterAutospacing="0" w:line="240" w:lineRule="auto"/>
        <w:tabs>
          <w:tab w:val="left" w:pos="1134" w:leader="none"/>
          <w:tab w:val="left" w:pos="6141" w:leader="none"/>
        </w:tabs>
        <w:rPr>
          <w:rFonts w:ascii="Times New Roman" w:hAnsi="Times New Roman" w:cs="Times New Roman"/>
          <w:sz w:val="18"/>
          <w:szCs w:val="18"/>
          <w:highlight w:val="none"/>
        </w:rPr>
      </w:pPr>
      <w:r>
        <w:rPr>
          <w:rFonts w:ascii="Times New Roman" w:hAnsi="Times New Roman" w:cs="Times New Roman"/>
          <w:sz w:val="20"/>
          <w:szCs w:val="20"/>
          <w:highlight w:val="none"/>
        </w:rPr>
        <w:t xml:space="preserve">Предоставление информации в Минэнерго России по исполнению пп. 5.1.10</w:t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ind w:left="0" w:right="0" w:firstLine="0"/>
        <w:jc w:val="center"/>
        <w:spacing w:after="0" w:afterAutospacing="0" w:line="240" w:lineRule="auto"/>
        <w:tabs>
          <w:tab w:val="left" w:pos="1134" w:leader="none"/>
          <w:tab w:val="left" w:pos="6141" w:leader="none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1150"/>
        <w:tblW w:w="0" w:type="auto"/>
        <w:tblLook w:val="04A0" w:firstRow="1" w:lastRow="0" w:firstColumn="1" w:lastColumn="0" w:noHBand="0" w:noVBand="1"/>
      </w:tblPr>
      <w:tblGrid>
        <w:gridCol w:w="1170"/>
        <w:gridCol w:w="2445"/>
        <w:gridCol w:w="2475"/>
        <w:gridCol w:w="2445"/>
        <w:gridCol w:w="2445"/>
        <w:gridCol w:w="2445"/>
        <w:gridCol w:w="5955"/>
        <w:gridCol w:w="2280"/>
        <w:gridCol w:w="2235"/>
      </w:tblGrid>
      <w:tr>
        <w:tblPrEx/>
        <w:trPr>
          <w:trHeight w:val="765"/>
        </w:trPr>
        <w:tc>
          <w:tcPr>
            <w:gridSpan w:val="9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895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1. Информация о промежуточных итогах проверки поступив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ших сведений о бенефициарах контрагентов компаний топливно-энергетического комплекса, являющихся исполнителями поручений Правительства Российской Федерации                            </w:t>
              <w:br/>
              <w:t xml:space="preserve">от 28 декабря 2011 г. № ВП-П13-9308, от 05 марта 2012 г. № ВП-П24-1269 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наименование проверяемой организации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количество контрагентов, подлежащих проверке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количество контрагентов, анализ информации о которых завершен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количество контрагентов, в рамках проверки которых выявлены какие-либо злоупотребления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количество контрагентов, с которыми не планируется продолжение договорных отношений, в связи с результатами проверок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количество контрагентов, договорные отношения с которыми расторгнуты в связи с результатом проверок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информация о применении мер ответственности к должностным лицам компании, ответственным за заключение сделки с контрагентом, в ходе проверки которого выявлены какие-либо злоупотребления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1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contextualSpacing/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1150"/>
        <w:tblW w:w="0" w:type="auto"/>
        <w:tblLook w:val="04A0" w:firstRow="1" w:lastRow="0" w:firstColumn="1" w:lastColumn="0" w:noHBand="0" w:noVBand="1"/>
      </w:tblPr>
      <w:tblGrid>
        <w:gridCol w:w="1170"/>
        <w:gridCol w:w="2445"/>
        <w:gridCol w:w="2475"/>
        <w:gridCol w:w="2445"/>
        <w:gridCol w:w="2445"/>
        <w:gridCol w:w="2445"/>
        <w:gridCol w:w="5955"/>
        <w:gridCol w:w="2280"/>
        <w:gridCol w:w="2235"/>
      </w:tblGrid>
      <w:tr>
        <w:tblPrEx/>
        <w:trPr>
          <w:trHeight w:val="0"/>
        </w:trPr>
        <w:tc>
          <w:tcPr>
            <w:gridSpan w:val="9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895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2. Расшифровка данных, содержащихся в столбцах 3-7 Таблицы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8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наименование проверяемой организации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наименование контрагента, анализ информации о котором завершен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конкретные действия, предпринятые в рамках проверки данных, представленных о котрагенте и бенефициарах (отдельно указываются задействованные информационные ресурсы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выявленные факты аффилированности контрагента с должностными лицами (либо их родственниками) проверяемой организации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выявленные факты аффилированности контрагента с другимиконтрагентами (в том числе через бенефициаров)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анализ содержательной части сделки (цена договора, предмет, участие посредников)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принятые меры по каждому выявленному факту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иные мероприятия по выполнению поручений Правительства Российской Федерации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0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75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55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80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5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tbl>
      <w:tblPr>
        <w:tblW w:w="0" w:type="auto"/>
        <w:tblInd w:w="335" w:type="dxa"/>
        <w:tblLook w:val="0000" w:firstRow="0" w:lastRow="0" w:firstColumn="0" w:lastColumn="0" w:noHBand="0" w:noVBand="0"/>
      </w:tblPr>
      <w:tblGrid>
        <w:gridCol w:w="15238"/>
        <w:gridCol w:w="222"/>
      </w:tblGrid>
      <w:tr>
        <w:tblPrEx/>
        <w:trPr>
          <w:trHeight w:val="1232"/>
        </w:trPr>
        <w:tc>
          <w:tcPr>
            <w:tcW w:w="5126" w:type="dxa"/>
            <w:textDirection w:val="lrTb"/>
            <w:noWrap w:val="false"/>
          </w:tcPr>
          <w:p>
            <w:pPr>
              <w:ind w:hanging="34"/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center"/>
              <w:tabs>
                <w:tab w:val="left" w:pos="1134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ФОРМА СОГЛАСОВАНА:</w:t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center"/>
              <w:tabs>
                <w:tab w:val="left" w:pos="1134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tbl>
            <w:tblPr>
              <w:tblW w:w="15168" w:type="dxa"/>
              <w:tblInd w:w="108" w:type="dxa"/>
              <w:tblLook w:val="01E0" w:firstRow="1" w:lastRow="1" w:firstColumn="1" w:lastColumn="1" w:noHBand="0" w:noVBand="0"/>
            </w:tblPr>
            <w:tblGrid>
              <w:gridCol w:w="9639"/>
              <w:gridCol w:w="5529"/>
            </w:tblGrid>
            <w:tr>
              <w:tblPrEx/>
              <w:trPr/>
              <w:tc>
                <w:tcPr>
                  <w:tcW w:w="9639" w:type="dxa"/>
                  <w:textDirection w:val="lrTb"/>
                  <w:noWrap w:val="false"/>
                </w:tcPr>
                <w:p>
                  <w:pPr>
                    <w:pStyle w:val="1088"/>
                    <w:ind w:left="1134" w:right="317" w:hanging="1134"/>
                    <w:keepNext w:val="0"/>
                    <w:widowControl w:val="off"/>
                    <w:tabs>
                      <w:tab w:val="left" w:pos="1134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ЗАКАЗЧИК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  <w:p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__________________________________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1088"/>
                    <w:ind w:left="1134" w:right="317" w:hanging="1134"/>
                    <w:keepNext w:val="0"/>
                    <w:widowControl w:val="off"/>
                    <w:tabs>
                      <w:tab w:val="left" w:pos="1134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______________________/_______________/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  <w:p>
                  <w:pPr>
                    <w:pStyle w:val="1088"/>
                    <w:ind w:left="1134" w:right="317" w:hanging="1134"/>
                    <w:keepNext w:val="0"/>
                    <w:widowControl w:val="off"/>
                    <w:tabs>
                      <w:tab w:val="left" w:pos="1134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«___» __________ 20__ г.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  <w:p>
                  <w:pPr>
                    <w:pStyle w:val="1088"/>
                    <w:ind w:left="1134" w:right="317" w:hanging="1134"/>
                    <w:keepNext w:val="0"/>
                    <w:widowControl w:val="off"/>
                    <w:tabs>
                      <w:tab w:val="left" w:pos="1134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М.П.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5529" w:type="dxa"/>
                  <w:textDirection w:val="lrTb"/>
                  <w:noWrap w:val="false"/>
                </w:tcPr>
                <w:p>
                  <w:pPr>
                    <w:pStyle w:val="1088"/>
                    <w:ind w:left="1134" w:right="317" w:hanging="1134"/>
                    <w:keepNext w:val="0"/>
                    <w:widowControl w:val="off"/>
                    <w:tabs>
                      <w:tab w:val="left" w:pos="1134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ИСПОЛНИТЕЛЬ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  <w:p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_______________________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1088"/>
                    <w:ind w:left="1134" w:right="317" w:hanging="1134"/>
                    <w:keepNext w:val="0"/>
                    <w:widowControl w:val="off"/>
                    <w:tabs>
                      <w:tab w:val="left" w:pos="1134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______________/___________________/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  <w:p>
                  <w:pPr>
                    <w:pStyle w:val="1088"/>
                    <w:ind w:left="1134" w:right="317" w:hanging="1134"/>
                    <w:keepNext w:val="0"/>
                    <w:widowControl w:val="off"/>
                    <w:tabs>
                      <w:tab w:val="left" w:pos="1134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«___» __________ 20__ г.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  <w:p>
                  <w:pPr>
                    <w:pStyle w:val="1088"/>
                    <w:ind w:left="1134" w:right="317" w:hanging="1134"/>
                    <w:keepNext w:val="0"/>
                    <w:widowControl w:val="off"/>
                    <w:tabs>
                      <w:tab w:val="left" w:pos="1134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М.П.</w:t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</w:tc>
            </w:tr>
          </w:tbl>
          <w:p>
            <w:pPr>
              <w:ind w:hanging="34"/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3691" w:type="dxa"/>
            <w:textDirection w:val="lrTb"/>
            <w:noWrap w:val="false"/>
          </w:tcPr>
          <w:p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на оказания услуг по техническому обслуживанию и ремонту оргтехники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jc w:val="center"/>
        <w:tabs>
          <w:tab w:val="left" w:pos="0" w:leader="none"/>
          <w:tab w:val="num" w:pos="1134" w:leader="none"/>
        </w:tabs>
        <w:rPr>
          <w:b/>
          <w:sz w:val="24"/>
          <w:szCs w:val="24"/>
          <w:lang w:eastAsia="en-US"/>
        </w:rPr>
        <w:outlineLvl w:val="1"/>
      </w:pPr>
      <w:r>
        <w:rPr>
          <w:b/>
          <w:sz w:val="24"/>
          <w:szCs w:val="24"/>
          <w:lang w:eastAsia="en-US"/>
        </w:rPr>
        <w:t xml:space="preserve">Согласие на обработку персональных данных </w:t>
      </w:r>
      <w:r>
        <w:rPr>
          <w:b/>
          <w:sz w:val="24"/>
          <w:szCs w:val="24"/>
          <w:lang w:eastAsia="en-US"/>
        </w:rPr>
      </w:r>
    </w:p>
    <w:p>
      <w:pPr>
        <w:jc w:val="center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от «_____» ____________ 20____ г.</w:t>
      </w:r>
      <w:r>
        <w:rPr>
          <w:b/>
          <w:sz w:val="24"/>
          <w:szCs w:val="24"/>
          <w:lang w:eastAsia="en-US"/>
        </w:rPr>
      </w:r>
    </w:p>
    <w:p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87"/>
        <w:jc w:val="both"/>
        <w:spacing w:after="0" w:line="240" w:lineRule="auto"/>
        <w:widowControl w:val="of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7"/>
        <w:jc w:val="center"/>
        <w:spacing w:after="0" w:line="240" w:lineRule="auto"/>
        <w:widowControl w:val="off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24"/>
          <w:szCs w:val="24"/>
        </w:rPr>
        <w:t xml:space="preserve">         (указывается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полное наименование участника / победителя закупочной процедуры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pStyle w:val="1087"/>
        <w:jc w:val="center"/>
        <w:spacing w:after="0" w:line="240" w:lineRule="auto"/>
        <w:widowControl w:val="of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______________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(потенциального контрагента), контрагента)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7"/>
        <w:jc w:val="both"/>
        <w:spacing w:after="0" w:line="240" w:lineRule="auto"/>
        <w:widowControl w:val="of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7"/>
        <w:jc w:val="both"/>
        <w:spacing w:after="0" w:line="240" w:lineRule="auto"/>
        <w:widowControl w:val="of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Адрес регистрации: ____________________________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7"/>
        <w:jc w:val="both"/>
        <w:spacing w:after="0" w:line="240" w:lineRule="auto"/>
        <w:widowControl w:val="of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7"/>
        <w:jc w:val="both"/>
        <w:spacing w:after="0" w:line="240" w:lineRule="auto"/>
        <w:widowControl w:val="of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Свидетельство о регистрации: _____________________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7"/>
        <w:jc w:val="both"/>
        <w:spacing w:after="0" w:line="240" w:lineRule="auto"/>
        <w:widowControl w:val="o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ind w:left="0" w:firstLine="0"/>
        <w:jc w:val="both"/>
        <w:spacing w:after="0" w:afterAutospacing="0" w:line="240" w:lineRule="auto"/>
        <w:rPr>
          <w:rFonts w:ascii="Times New Roman" w:hAnsi="Times New Roman" w:eastAsia="Times New Roman" w:cs="Times New Roman"/>
          <w:b/>
          <w:bCs/>
          <w:i/>
          <w:sz w:val="18"/>
          <w:szCs w:val="18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en-US"/>
        </w:rPr>
      </w:r>
    </w:p>
    <w:p>
      <w:pPr>
        <w:ind w:left="0" w:firstLine="0"/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КПП__________________________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0"/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ОГРН_________________________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en-US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en-US"/>
        </w:rPr>
      </w:r>
    </w:p>
    <w:p>
      <w:pPr>
        <w:ind w:firstLine="0"/>
        <w:jc w:val="both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en-US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 ___________________________________________________________________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54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en-US"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en-US"/>
        </w:rPr>
        <w:t xml:space="preserve">______________________________________________________________________________,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en-US"/>
        </w:rPr>
        <w:t xml:space="preserve">сведения о дате выдачи указанного документа и выдавшем его органе)*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действующего на основании _____________________________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en-US"/>
        </w:rPr>
        <w:t xml:space="preserve">,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дает свое согласие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АО 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Россети Сибирь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 Тываэнерго»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, зарегистрированному по адресу: 667001, г. Кызыл, ул. Рабочая, 4,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Обществу под управлением ПАО 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Россети Сибирь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»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зарегистрированному по адресу: 660021, г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.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Красноярск, ул. Бограда 144а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и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зарегистрированному по адресу: г. Москва, ул. Беловежская, 4, в отношении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фамилия и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Росфинмониторинг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Цель обработки персональных данных: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en-US"/>
        </w:rPr>
        <w:t xml:space="preserve">_____________________________                                             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contextualSpacing/>
        <w:jc w:val="both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en-US"/>
        </w:rPr>
        <w:t xml:space="preserve">(Подпись субъекта персональных данных/                                     (Ф.И.О. и должность подписавшего*)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/>
        <w:jc w:val="both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en-US"/>
        </w:rPr>
        <w:t xml:space="preserve">уполномоченного представителя)                                               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en-US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en-US"/>
        </w:rPr>
      </w:r>
    </w:p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en-US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lang w:eastAsia="en-US"/>
        </w:rPr>
        <w:t xml:space="preserve">М.П.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18"/>
          <w:szCs w:val="18"/>
          <w:lang w:eastAsia="en-US"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1087"/>
        <w:jc w:val="both"/>
        <w:spacing w:after="0" w:line="240" w:lineRule="auto"/>
        <w:widowControl w:val="off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* Указываются фамилия, имя, отчество, а</w:t>
      </w:r>
      <w:r>
        <w:rPr>
          <w:rFonts w:ascii="Times New Roman" w:hAnsi="Times New Roman"/>
          <w:sz w:val="20"/>
          <w:szCs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rFonts w:ascii="Times New Roman" w:hAnsi="Times New Roman"/>
          <w:sz w:val="20"/>
          <w:szCs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1087"/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** При заключении договоров ПАО «Россети», ДО ПАО «Россети» обязаны получить согласие на обработку персональных данных участника закупки (потенциального контрагента / </w:t>
      </w:r>
      <w:r>
        <w:rPr>
          <w:rFonts w:ascii="Times New Roman" w:hAnsi="Times New Roman"/>
          <w:sz w:val="20"/>
          <w:szCs w:val="20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rFonts w:ascii="Times New Roman" w:hAnsi="Times New Roman"/>
          <w:sz w:val="20"/>
          <w:szCs w:val="20"/>
        </w:rPr>
        <w:t xml:space="preserve">, удостоверяющего личность; ИНН </w:t>
      </w:r>
      <w:r>
        <w:rPr>
          <w:rFonts w:ascii="Times New Roman" w:hAnsi="Times New Roman"/>
          <w:sz w:val="20"/>
          <w:szCs w:val="20"/>
        </w:rPr>
        <w:t xml:space="preserve">(участников, учредителей, акционеров, руководителей)).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jc w:val="both"/>
        <w:rPr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*** Заполнение участником закупки (потенциальным контрагентом) / контрагенто</w:t>
      </w:r>
      <w:r>
        <w:rPr>
          <w:rFonts w:ascii="Times New Roman" w:hAnsi="Times New Roman"/>
          <w:sz w:val="20"/>
          <w:szCs w:val="20"/>
        </w:rPr>
        <w:t xml:space="preserve">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ДО ПАО «Россети» перед</w:t>
      </w:r>
      <w:r>
        <w:rPr>
          <w:rFonts w:ascii="Times New Roman" w:hAnsi="Times New Roman"/>
          <w:spacing w:val="-4"/>
          <w:sz w:val="20"/>
          <w:szCs w:val="20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/>
          <w:sz w:val="20"/>
          <w:szCs w:val="20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</w:t>
      </w:r>
      <w:r>
        <w:rPr>
          <w:rFonts w:ascii="Times New Roman" w:hAnsi="Times New Roman"/>
          <w:spacing w:val="-4"/>
          <w:sz w:val="20"/>
          <w:szCs w:val="20"/>
        </w:rPr>
        <w:t xml:space="preserve">ПАО «Россети»</w:t>
      </w:r>
      <w:r>
        <w:rPr>
          <w:rFonts w:ascii="Times New Roman" w:hAnsi="Times New Roman"/>
          <w:sz w:val="20"/>
          <w:szCs w:val="20"/>
        </w:rPr>
        <w:t xml:space="preserve">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/>
          <w:spacing w:val="-4"/>
          <w:sz w:val="20"/>
          <w:szCs w:val="20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/>
          <w:sz w:val="20"/>
          <w:szCs w:val="20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/>
          <w:spacing w:val="-4"/>
          <w:sz w:val="20"/>
          <w:szCs w:val="20"/>
        </w:rPr>
        <w:t xml:space="preserve">на представление (обработку) ПАО «Россети», ДО ПАО «Россети»</w:t>
      </w:r>
      <w:r>
        <w:rPr>
          <w:rFonts w:ascii="Times New Roman" w:hAnsi="Times New Roman"/>
          <w:sz w:val="20"/>
          <w:szCs w:val="20"/>
        </w:rPr>
        <w:t xml:space="preserve"> и в уполномоченные государственные органы указанных сведений.</w:t>
      </w:r>
      <w:r>
        <w:rPr>
          <w:rFonts w:ascii="Times New Roman" w:hAnsi="Times New Roman"/>
          <w:sz w:val="20"/>
          <w:szCs w:val="20"/>
        </w:rPr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18"/>
          <w:szCs w:val="18"/>
          <w:lang w:eastAsia="en-US"/>
        </w:rPr>
      </w:r>
      <w:r>
        <w:rPr>
          <w:sz w:val="18"/>
          <w:szCs w:val="18"/>
        </w:rPr>
      </w:r>
    </w:p>
    <w:p>
      <w:pPr>
        <w:jc w:val="both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354"/>
              </w:trPr>
              <w:tc>
                <w:tcPr>
                  <w:tcW w:w="10281" w:type="dxa"/>
                  <w:textDirection w:val="lrTb"/>
                  <w:noWrap w:val="false"/>
                </w:tcPr>
                <w:p>
                  <w:pPr>
                    <w:spacing w:after="160" w:line="259" w:lineRule="auto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pStyle w:val="1088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354"/>
              </w:trPr>
              <w:tc>
                <w:tcPr>
                  <w:tcW w:w="10281" w:type="dxa"/>
                  <w:textDirection w:val="lrTb"/>
                  <w:noWrap w:val="false"/>
                </w:tcPr>
                <w:p>
                  <w:pPr>
                    <w:spacing w:after="160" w:line="259" w:lineRule="auto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088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10"/>
      <w:footnotePr/>
      <w:endnotePr/>
      <w:type w:val="nextPage"/>
      <w:pgSz w:w="11906" w:h="16838" w:orient="portrait"/>
      <w:pgMar w:top="720" w:right="707" w:bottom="1134" w:left="1560" w:header="709" w:footer="38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BatangChe">
    <w:panose1 w:val="02010609060101010101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ヒラギノ角ゴ Pro W3">
    <w:panose1 w:val="05050102010205020202"/>
  </w:font>
  <w:font w:name="Calibri">
    <w:panose1 w:val="020F0502020204030204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>
        <w:rPr>
          <w:rFonts w:ascii="Times New Roman" w:hAnsi="Times New Roman"/>
          <w:i/>
        </w:rPr>
        <w:t xml:space="preserve">Индивидуальный предприниматель ___________________________________________________, именуемый (-</w:t>
      </w:r>
      <w:r>
        <w:rPr>
          <w:rFonts w:ascii="Times New Roman" w:hAnsi="Times New Roman"/>
          <w:i/>
        </w:rPr>
        <w:t xml:space="preserve">ая</w:t>
      </w:r>
      <w:r>
        <w:rPr>
          <w:rFonts w:ascii="Times New Roman" w:hAnsi="Times New Roman"/>
          <w:i/>
        </w:rPr>
        <w:t xml:space="preserve">) в дальнейшем Исполнитель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>
        <w:rPr>
          <w:rFonts w:ascii="Times New Roman" w:hAnsi="Times New Roman"/>
          <w:i/>
        </w:rPr>
        <w:t xml:space="preserve">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156"/>
        <w:ind w:firstLine="567"/>
        <w:jc w:val="both"/>
        <w:rPr>
          <w:rFonts w:ascii="Times New Roman" w:hAnsi="Times New Roman"/>
          <w:i/>
        </w:rPr>
      </w:pPr>
      <w:r>
        <w:rPr>
          <w:rStyle w:val="1158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том случае, если </w:t>
      </w:r>
      <w:r>
        <w:rPr>
          <w:rFonts w:ascii="Times New Roman" w:hAnsi="Times New Roman"/>
          <w:i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  <w:i/>
        </w:rPr>
      </w:r>
    </w:p>
  </w:footnote>
  <w:footnote w:id="5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ЕИС, указывается </w:t>
      </w:r>
      <w:r>
        <w:rPr>
          <w:rFonts w:ascii="Times New Roman" w:hAnsi="Times New Roman"/>
        </w:rPr>
        <w:t xml:space="preserve">не более 7</w:t>
      </w:r>
      <w:r>
        <w:rPr>
          <w:rFonts w:ascii="Times New Roman" w:hAnsi="Times New Roman"/>
          <w:i/>
        </w:rPr>
        <w:t xml:space="preserve"> рабочих дней</w:t>
      </w:r>
      <w:r>
        <w:rPr>
          <w:rFonts w:ascii="Times New Roman" w:hAnsi="Times New Roman"/>
        </w:rPr>
        <w:t xml:space="preserve">. В остальных случаях срок указывается в соответствии с ОРД Заказчика</w:t>
      </w:r>
      <w:r>
        <w:rPr>
          <w:rFonts w:ascii="Times New Roman" w:hAnsi="Times New Roman"/>
        </w:rPr>
        <w:t xml:space="preserve"> либо в соответствии с требованиями действующего законодательства РФ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</w:p>
  </w:footnote>
  <w:footnote w:id="6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7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Заказчиком. </w:t>
      </w:r>
      <w:r>
        <w:rPr>
          <w:rFonts w:ascii="Times New Roman" w:hAnsi="Times New Roman"/>
        </w:rPr>
      </w:r>
    </w:p>
  </w:footnote>
  <w:footnote w:id="8">
    <w:p>
      <w:pPr>
        <w:pStyle w:val="1156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 w:eastAsia="BatangChe"/>
        </w:rPr>
        <w:footnoteRef/>
      </w:r>
      <w:r>
        <w:rPr>
          <w:rFonts w:ascii="Times New Roman" w:hAnsi="Times New Roman" w:eastAsia="BatangChe"/>
        </w:rPr>
        <w:t xml:space="preserve"> </w:t>
      </w:r>
      <w:r>
        <w:rPr>
          <w:rFonts w:ascii="Times New Roman" w:hAnsi="Times New Roman"/>
        </w:rPr>
        <w:t xml:space="preserve">Пункт не включается при заключении расходных договоров с ю</w:t>
      </w:r>
      <w:r>
        <w:rPr>
          <w:rFonts w:ascii="Times New Roman" w:hAnsi="Times New Roman"/>
        </w:rPr>
        <w:t xml:space="preserve">ридическими лицами / индивидуальными предпринимателями, не являющимися налогоплательщиками НДС или освобожденными от исполнения обязанностей налогоплательщика, связанных с исчислением и уплатой данного вида налога (при наличии документального подтверждения</w:t>
      </w:r>
      <w:r>
        <w:rPr>
          <w:rFonts w:ascii="Times New Roman" w:hAnsi="Times New Roman"/>
        </w:rPr>
        <w:t xml:space="preserve">), с</w:t>
      </w:r>
      <w:r>
        <w:rPr>
          <w:rFonts w:ascii="Times New Roman" w:hAnsi="Times New Roman"/>
        </w:rPr>
        <w:t xml:space="preserve">чет – фактура исключается из договора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</w:p>
  </w:footnote>
  <w:footnote w:id="9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</w:p>
  </w:footnote>
  <w:footnote w:id="10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Необходимость установления гарантийного срока на оказанные услуги определяется куратором Договора исходя из вида услуг.</w:t>
      </w:r>
      <w:r>
        <w:rPr>
          <w:rFonts w:ascii="Times New Roman" w:hAnsi="Times New Roman"/>
        </w:rPr>
      </w:r>
    </w:p>
  </w:footnote>
  <w:footnote w:id="11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</w:p>
  </w:footnote>
  <w:footnote w:id="12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 xml:space="preserve">ЕГРИП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</w:p>
  </w:footnote>
  <w:footnote w:id="13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</w:p>
  </w:footnote>
  <w:footnote w:id="14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</w:t>
      </w:r>
      <w:r>
        <w:rPr>
          <w:rFonts w:ascii="Times New Roman" w:hAnsi="Times New Roman"/>
        </w:rPr>
        <w:t xml:space="preserve">оме тех случаев, когда договор </w:t>
      </w:r>
      <w:r>
        <w:rPr>
          <w:rFonts w:ascii="Times New Roman" w:hAnsi="Times New Roman"/>
        </w:rPr>
        <w:t xml:space="preserve">заключается с субъектом МСП.</w:t>
      </w:r>
      <w:r>
        <w:rPr>
          <w:rFonts w:ascii="Times New Roman" w:hAnsi="Times New Roman"/>
        </w:rPr>
      </w:r>
    </w:p>
  </w:footnote>
  <w:footnote w:id="15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</w:p>
  </w:footnote>
  <w:footnote w:id="16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при включении в Договор пункта 3.9</w:t>
      </w:r>
      <w:r>
        <w:rPr>
          <w:rFonts w:ascii="Times New Roman" w:hAnsi="Times New Roman"/>
        </w:rPr>
      </w:r>
    </w:p>
  </w:footnote>
  <w:footnote w:id="17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Пункт приводится в случае, если Исполнитель является плательщиком НДС.</w:t>
      </w:r>
      <w:r>
        <w:rPr>
          <w:rFonts w:ascii="Times New Roman" w:hAnsi="Times New Roman"/>
        </w:rPr>
      </w:r>
    </w:p>
  </w:footnote>
  <w:footnote w:id="18">
    <w:p>
      <w:pPr>
        <w:pStyle w:val="1156"/>
        <w:ind w:firstLine="567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включается, если договором предусмотрено обеспечение в форме независимой гарантии.</w:t>
      </w:r>
      <w:r>
        <w:rPr>
          <w:rFonts w:ascii="Times New Roman" w:hAnsi="Times New Roman"/>
        </w:rPr>
      </w:r>
    </w:p>
  </w:footnote>
  <w:footnote w:id="19">
    <w:p>
      <w:pPr>
        <w:pStyle w:val="1156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</w:t>
      </w:r>
      <w:r>
        <w:rPr>
          <w:rFonts w:ascii="Times New Roman" w:hAnsi="Times New Roman"/>
        </w:rPr>
        <w:t xml:space="preserve"> условиями обеспечения).</w:t>
      </w:r>
      <w:r>
        <w:rPr>
          <w:rFonts w:ascii="Times New Roman" w:hAnsi="Times New Roman"/>
          <w:lang w:eastAsia="ar-SA"/>
        </w:rPr>
      </w:r>
    </w:p>
  </w:footnote>
  <w:footnote w:id="20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По договорам с ДЗО ПАО «Россети» включать следующие пункты:</w:t>
      </w:r>
      <w:r>
        <w:rPr>
          <w:rFonts w:ascii="Times New Roman" w:hAnsi="Times New Roman"/>
        </w:rPr>
      </w:r>
    </w:p>
    <w:p>
      <w:pPr>
        <w:pStyle w:val="1140"/>
        <w:tabs>
          <w:tab w:val="left" w:pos="993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«</w:t>
      </w:r>
      <w:r>
        <w:rPr>
          <w:rFonts w:ascii="Times New Roman" w:hAnsi="Times New Roman"/>
          <w:i/>
          <w:sz w:val="20"/>
          <w:szCs w:val="20"/>
        </w:rPr>
        <w:t xml:space="preserve">11.1. </w:t>
      </w:r>
      <w:r>
        <w:rPr>
          <w:rFonts w:ascii="Times New Roman" w:hAnsi="Times New Roman"/>
          <w:i/>
          <w:sz w:val="20"/>
          <w:szCs w:val="20"/>
        </w:rPr>
        <w:t xml:space="preserve">Все споры, разногласия</w:t>
      </w:r>
      <w:r>
        <w:rPr>
          <w:rFonts w:ascii="Times New Roman" w:hAnsi="Times New Roman"/>
          <w:i/>
          <w:sz w:val="20"/>
          <w:szCs w:val="20"/>
        </w:rPr>
        <w:t xml:space="preserve">, претензии</w:t>
      </w:r>
      <w:r>
        <w:rPr>
          <w:rFonts w:ascii="Times New Roman" w:hAnsi="Times New Roman"/>
          <w:i/>
          <w:sz w:val="20"/>
          <w:szCs w:val="20"/>
        </w:rPr>
        <w:t xml:space="preserve"> и требования, возникающие из настоящего Договора или </w:t>
      </w:r>
      <w:r>
        <w:rPr>
          <w:rFonts w:ascii="Times New Roman" w:hAnsi="Times New Roman"/>
          <w:i/>
          <w:sz w:val="20"/>
          <w:szCs w:val="20"/>
        </w:rPr>
        <w:t xml:space="preserve">прямо или косвенно связанные с </w:t>
      </w:r>
      <w:r>
        <w:rPr>
          <w:rFonts w:ascii="Times New Roman" w:hAnsi="Times New Roman"/>
          <w:i/>
          <w:sz w:val="20"/>
          <w:szCs w:val="20"/>
        </w:rPr>
        <w:t xml:space="preserve">ним, в том числе </w:t>
      </w:r>
      <w:r>
        <w:rPr>
          <w:rFonts w:ascii="Times New Roman" w:hAnsi="Times New Roman"/>
          <w:i/>
          <w:sz w:val="20"/>
          <w:szCs w:val="20"/>
        </w:rPr>
        <w:t xml:space="preserve">касающиеся</w:t>
      </w:r>
      <w:r>
        <w:rPr>
          <w:rFonts w:ascii="Times New Roman" w:hAnsi="Times New Roman"/>
          <w:i/>
          <w:sz w:val="20"/>
          <w:szCs w:val="20"/>
        </w:rPr>
        <w:t xml:space="preserve"> его </w:t>
      </w:r>
      <w:r>
        <w:rPr>
          <w:rFonts w:ascii="Times New Roman" w:hAnsi="Times New Roman"/>
          <w:i/>
          <w:sz w:val="20"/>
          <w:szCs w:val="20"/>
        </w:rPr>
        <w:t xml:space="preserve">заключения, существования, толкования, действия, изменения, исполнения, нарушения, расторжения, прекращения</w:t>
      </w:r>
      <w:r>
        <w:rPr>
          <w:rFonts w:ascii="Times New Roman" w:hAnsi="Times New Roman"/>
          <w:i/>
          <w:sz w:val="20"/>
          <w:szCs w:val="20"/>
        </w:rPr>
        <w:t xml:space="preserve"> и </w:t>
      </w:r>
      <w:r>
        <w:rPr>
          <w:rFonts w:ascii="Times New Roman" w:hAnsi="Times New Roman"/>
          <w:i/>
          <w:sz w:val="20"/>
          <w:szCs w:val="20"/>
        </w:rPr>
        <w:t xml:space="preserve">действительности</w:t>
      </w:r>
      <w:r>
        <w:rPr>
          <w:rFonts w:ascii="Times New Roman" w:hAnsi="Times New Roman"/>
          <w:i/>
          <w:sz w:val="20"/>
          <w:szCs w:val="20"/>
        </w:rPr>
        <w:t xml:space="preserve">, подлежат разрешению </w:t>
      </w:r>
      <w:r>
        <w:rPr>
          <w:rFonts w:ascii="Times New Roman" w:hAnsi="Times New Roman"/>
          <w:i/>
          <w:sz w:val="20"/>
          <w:szCs w:val="20"/>
        </w:rPr>
        <w:t xml:space="preserve">путем переговоров</w:t>
      </w:r>
      <w:r>
        <w:rPr>
          <w:rFonts w:ascii="Times New Roman" w:hAnsi="Times New Roman"/>
          <w:i/>
          <w:sz w:val="20"/>
          <w:szCs w:val="20"/>
        </w:rPr>
        <w:t xml:space="preserve">.</w:t>
      </w:r>
      <w:r>
        <w:rPr>
          <w:rFonts w:ascii="Times New Roman" w:hAnsi="Times New Roman"/>
          <w:i/>
          <w:sz w:val="20"/>
          <w:szCs w:val="20"/>
        </w:rPr>
      </w:r>
    </w:p>
    <w:p>
      <w:pPr>
        <w:ind w:firstLine="567"/>
        <w:jc w:val="both"/>
        <w:rPr>
          <w:i/>
        </w:rPr>
      </w:pPr>
      <w:r>
        <w:rPr>
          <w:i/>
        </w:rPr>
        <w:t xml:space="preserve">11.2. В случае невозможности урегулировать возникший спор путем переговоров, он подлежит разрешению путем применения </w:t>
      </w:r>
      <w:r>
        <w:rPr>
          <w:i/>
        </w:rPr>
        <w:t xml:space="preserve">альтернативной процедуры урегулирования споров (медиац</w:t>
      </w:r>
      <w:r>
        <w:rPr>
          <w:i/>
        </w:rPr>
        <w:t xml:space="preserve">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ПАО «МРСК Сибири» (протокол от 16.12.2015 № 171/15).</w:t>
      </w:r>
      <w:r>
        <w:rPr>
          <w:i/>
        </w:rPr>
      </w:r>
    </w:p>
    <w:p>
      <w:pPr>
        <w:contextualSpacing/>
        <w:ind w:firstLine="567"/>
        <w:jc w:val="both"/>
        <w:rPr>
          <w:i/>
        </w:rPr>
      </w:pPr>
      <w:r>
        <w:rPr>
          <w:i/>
        </w:rPr>
        <w:t xml:space="preserve">11.3.</w:t>
      </w:r>
      <w:r>
        <w:rPr>
          <w:i/>
        </w:rPr>
        <w:t xml:space="preserve"> </w:t>
      </w:r>
      <w:r>
        <w:rPr>
          <w:i/>
        </w:rPr>
        <w:t xml:space="preserve">При </w:t>
      </w:r>
      <w:r>
        <w:rPr>
          <w:i/>
        </w:rPr>
        <w:t xml:space="preserve">недостижении</w:t>
      </w:r>
      <w:r>
        <w:rPr>
          <w:i/>
        </w:rPr>
        <w:t xml:space="preserve"> </w:t>
      </w:r>
      <w:r>
        <w:rPr>
          <w:i/>
        </w:rPr>
        <w:t xml:space="preserve">Сторонами</w:t>
      </w:r>
      <w:r>
        <w:rPr>
          <w:i/>
        </w:rPr>
        <w:t xml:space="preserve"> соглашения об урегулировании спора путем медиации, он подлежит разрешению</w:t>
      </w:r>
      <w:r>
        <w:rPr>
          <w:i/>
        </w:rPr>
        <w:t xml:space="preserve"> </w:t>
      </w:r>
      <w:r>
        <w:rPr>
          <w:i/>
        </w:rPr>
        <w:t xml:space="preserve">в порядке арбитража (третейского разбирательства</w:t>
      </w:r>
      <w:r>
        <w:rPr>
          <w:i/>
        </w:rPr>
        <w:t xml:space="preserve">) в Арбитражном центре</w:t>
      </w:r>
      <w:r>
        <w:rPr>
          <w:i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>
        <w:rPr>
          <w:i/>
        </w:rPr>
        <w:t xml:space="preserve">начала арбитража».</w:t>
      </w:r>
      <w:r>
        <w:rPr>
          <w:i/>
        </w:rPr>
      </w:r>
    </w:p>
    <w:p>
      <w:pPr>
        <w:ind w:firstLine="567"/>
        <w:jc w:val="both"/>
        <w:shd w:val="clear" w:color="auto" w:fill="ffffff"/>
        <w:rPr>
          <w:i/>
        </w:rPr>
      </w:pPr>
      <w:r>
        <w:rPr>
          <w:i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i/>
        </w:rPr>
      </w:r>
    </w:p>
    <w:p>
      <w:pPr>
        <w:ind w:firstLine="567"/>
        <w:jc w:val="both"/>
        <w:shd w:val="clear" w:color="auto" w:fill="ffffff"/>
        <w:rPr>
          <w:i/>
        </w:rPr>
      </w:pPr>
      <w:r>
        <w:rPr>
          <w:i/>
        </w:rPr>
        <w:t xml:space="preserve">Заказчик</w:t>
      </w:r>
      <w:r>
        <w:rPr>
          <w:i/>
        </w:rPr>
        <w:t xml:space="preserve">: [</w:t>
      </w:r>
      <w:r>
        <w:rPr>
          <w:i/>
        </w:rPr>
        <w:t xml:space="preserve">адрес электронной почты</w:t>
      </w:r>
      <w:r>
        <w:rPr>
          <w:i/>
        </w:rPr>
        <w:t xml:space="preserve">];</w:t>
      </w:r>
      <w:r>
        <w:rPr>
          <w:i/>
        </w:rPr>
      </w:r>
    </w:p>
    <w:p>
      <w:pPr>
        <w:ind w:firstLine="567"/>
        <w:jc w:val="both"/>
        <w:shd w:val="clear" w:color="auto" w:fill="ffffff"/>
        <w:rPr>
          <w:i/>
        </w:rPr>
      </w:pPr>
      <w:r>
        <w:rPr>
          <w:i/>
        </w:rPr>
        <w:t xml:space="preserve">Исполнитель</w:t>
      </w:r>
      <w:r>
        <w:rPr>
          <w:i/>
        </w:rPr>
        <w:t xml:space="preserve">: [</w:t>
      </w:r>
      <w:r>
        <w:rPr>
          <w:i/>
        </w:rPr>
        <w:t xml:space="preserve">адрес электронной почты</w:t>
      </w:r>
      <w:r>
        <w:rPr>
          <w:i/>
        </w:rPr>
        <w:t xml:space="preserve">].</w:t>
      </w:r>
      <w:r>
        <w:rPr>
          <w:i/>
        </w:rPr>
      </w:r>
    </w:p>
    <w:p>
      <w:pPr>
        <w:ind w:firstLine="567"/>
        <w:jc w:val="both"/>
        <w:shd w:val="clear" w:color="auto" w:fill="ffffff"/>
        <w:rPr>
          <w:i/>
        </w:rPr>
      </w:pPr>
      <w:r>
        <w:rPr>
          <w:i/>
        </w:rPr>
        <w:t xml:space="preserve">Вынесенное третейским судом решение будет окончательным и обязательным для Сторон.</w:t>
      </w:r>
      <w:r>
        <w:rPr>
          <w:i/>
        </w:rPr>
      </w:r>
    </w:p>
    <w:p>
      <w:pPr>
        <w:contextualSpacing/>
        <w:ind w:firstLine="567"/>
        <w:jc w:val="both"/>
        <w:rPr>
          <w:i/>
        </w:rPr>
      </w:pPr>
      <w:r>
        <w:rPr>
          <w:i/>
        </w:rPr>
        <w:t xml:space="preserve">Заявление о выдаче исполнительного листа на принудительн</w:t>
      </w:r>
      <w:r>
        <w:rPr>
          <w:i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i/>
        </w:rPr>
        <w:t xml:space="preserve">»</w:t>
      </w:r>
      <w:r>
        <w:rPr>
          <w:i/>
        </w:rPr>
        <w:t xml:space="preserve">.</w:t>
      </w:r>
      <w:r>
        <w:rPr>
          <w:i/>
        </w:rPr>
      </w:r>
    </w:p>
  </w:footnote>
  <w:footnote w:id="21">
    <w:p>
      <w:pPr>
        <w:pStyle w:val="1156"/>
        <w:ind w:firstLine="709"/>
        <w:jc w:val="both"/>
        <w:rPr>
          <w:rFonts w:ascii="Times New Roman" w:hAnsi="Times New Roman"/>
          <w:i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  <w:i/>
        </w:rPr>
        <w:t xml:space="preserve">Текст в части подсудности Арбитражному центру при РСПП сформирован в соответствии с рекомендуемой редакцией на сайте </w:t>
      </w:r>
      <w:hyperlink r:id="rId1" w:tooltip="https://arbitration-rspp.ru/arbitration-clause/general/" w:history="1">
        <w:r>
          <w:t xml:space="preserve">https://arbitration-rspp.ru/arbitration-clause/general/</w:t>
        </w:r>
      </w:hyperlink>
      <w:r>
        <w:rPr>
          <w:rFonts w:ascii="Times New Roman" w:hAnsi="Times New Roman"/>
          <w:i/>
        </w:rPr>
        <w:t xml:space="preserve"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  <w:r>
        <w:rPr>
          <w:rFonts w:ascii="Times New Roman" w:hAnsi="Times New Roman"/>
          <w:i/>
        </w:rPr>
      </w:r>
    </w:p>
    <w:p>
      <w:pPr>
        <w:pStyle w:val="1156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При подготовке конкретного договора включать данное примечание не следует.</w:t>
      </w:r>
      <w:r>
        <w:rPr>
          <w:rFonts w:ascii="Times New Roman" w:hAnsi="Times New Roman"/>
        </w:rPr>
      </w:r>
    </w:p>
  </w:footnote>
  <w:footnote w:id="22">
    <w:p>
      <w:pPr>
        <w:pStyle w:val="1156"/>
        <w:ind w:firstLine="567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не включается в договоры с ДЗО ПАО «Россети». </w:t>
      </w:r>
      <w:r>
        <w:rPr>
          <w:rFonts w:ascii="Times New Roman" w:hAnsi="Times New Roman"/>
        </w:rPr>
      </w:r>
    </w:p>
  </w:footnote>
  <w:footnote w:id="23">
    <w:p>
      <w:pPr>
        <w:pStyle w:val="1156"/>
        <w:jc w:val="both"/>
        <w:rPr>
          <w:rFonts w:ascii="Times New Roman" w:hAnsi="Times New Roman"/>
        </w:rPr>
      </w:pPr>
      <w:r>
        <w:rPr>
          <w:rStyle w:val="1158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В случае применения электронного документооборота изложить пункт в следующей редакции:</w:t>
      </w:r>
      <w:r>
        <w:rPr>
          <w:rFonts w:ascii="Times New Roman" w:hAnsi="Times New Roman"/>
        </w:rPr>
      </w:r>
    </w:p>
    <w:p>
      <w:pPr>
        <w:pStyle w:val="1156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«Стороны договорились использовать электронный документооборот для</w:t>
      </w:r>
      <w:r>
        <w:rPr>
          <w:rFonts w:ascii="Times New Roman" w:hAnsi="Times New Roman"/>
          <w:i/>
        </w:rPr>
        <w:t xml:space="preserve"> обмена документами, связанными с исполнением договора, в электронном формате с использованием защищенных информационных систем электронного документооборота во исполнение своих обязательств по Договору в соответствии с Соглашением о применении электронног</w:t>
      </w:r>
      <w:r>
        <w:rPr>
          <w:rFonts w:ascii="Times New Roman" w:hAnsi="Times New Roman"/>
          <w:i/>
        </w:rPr>
        <w:t xml:space="preserve">о документооборота (Приложение 7</w:t>
      </w:r>
      <w:r>
        <w:rPr>
          <w:rFonts w:ascii="Times New Roman" w:hAnsi="Times New Roman"/>
          <w:i/>
        </w:rPr>
        <w:t xml:space="preserve"> к Договору). В случае оформления документа посредством системы электронного документооборота, требования Договора в части подписания документа на бумажном носителе, а также об обмене экземплярами такого документа на бумажном носителе не применяются».</w:t>
      </w:r>
      <w:r>
        <w:rPr>
          <w:rFonts w:ascii="Times New Roman" w:hAnsi="Times New Roman"/>
          <w:i/>
        </w:rPr>
      </w:r>
    </w:p>
  </w:footnote>
  <w:footnote w:id="24">
    <w:p>
      <w:pPr>
        <w:pStyle w:val="1156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Style w:val="1158"/>
          <w:rFonts w:ascii="Times New Roman" w:hAnsi="Times New Roman"/>
        </w:rPr>
        <w:footnoteRef/>
      </w:r>
      <w:r>
        <w:rPr>
          <w:rFonts w:ascii="Times New Roman" w:hAnsi="Times New Roman"/>
          <w:sz w:val="22"/>
          <w:szCs w:val="22"/>
        </w:rPr>
        <w:t xml:space="preserve">При заключении Сторонами Соглашения о применении электронного документооборота Акт сдачи-приемки оказанных услуг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  <w:r>
        <w:rPr>
          <w:rFonts w:ascii="Times New Roman" w:hAnsi="Times New Roman"/>
          <w:sz w:val="22"/>
          <w:szCs w:val="2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110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1167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161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63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164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165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166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0" w:firstLine="0"/>
      </w:pPr>
      <w:rPr>
        <w:rFonts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3960" w:hanging="1080"/>
        <w:tabs>
          <w:tab w:val="num" w:pos="3960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4"/>
  </w:num>
  <w:num w:numId="5">
    <w:abstractNumId w:val="18"/>
  </w:num>
  <w:num w:numId="6">
    <w:abstractNumId w:val="21"/>
  </w:num>
  <w:num w:numId="7">
    <w:abstractNumId w:val="23"/>
  </w:num>
  <w:num w:numId="8">
    <w:abstractNumId w:val="2"/>
  </w:num>
  <w:num w:numId="9">
    <w:abstractNumId w:val="5"/>
  </w:num>
  <w:num w:numId="10">
    <w:abstractNumId w:val="17"/>
  </w:num>
  <w:num w:numId="11">
    <w:abstractNumId w:val="19"/>
  </w:num>
  <w:num w:numId="12">
    <w:abstractNumId w:val="15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9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2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4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1091"/>
    <w:link w:val="108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091"/>
    <w:link w:val="108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091"/>
    <w:link w:val="1090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87"/>
    <w:next w:val="108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09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87"/>
    <w:next w:val="108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09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87"/>
    <w:next w:val="108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09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87"/>
    <w:next w:val="108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09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87"/>
    <w:next w:val="108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09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87"/>
    <w:next w:val="108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091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1091"/>
    <w:link w:val="1169"/>
    <w:uiPriority w:val="10"/>
    <w:rPr>
      <w:sz w:val="48"/>
      <w:szCs w:val="48"/>
    </w:rPr>
  </w:style>
  <w:style w:type="character" w:styleId="37">
    <w:name w:val="Subtitle Char"/>
    <w:basedOn w:val="1091"/>
    <w:link w:val="1126"/>
    <w:uiPriority w:val="11"/>
    <w:rPr>
      <w:sz w:val="24"/>
      <w:szCs w:val="24"/>
    </w:rPr>
  </w:style>
  <w:style w:type="paragraph" w:styleId="38">
    <w:name w:val="Quote"/>
    <w:basedOn w:val="1087"/>
    <w:next w:val="108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87"/>
    <w:next w:val="108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091"/>
    <w:link w:val="1107"/>
    <w:uiPriority w:val="99"/>
  </w:style>
  <w:style w:type="character" w:styleId="45">
    <w:name w:val="Footer Char"/>
    <w:basedOn w:val="1091"/>
    <w:link w:val="1109"/>
    <w:uiPriority w:val="99"/>
  </w:style>
  <w:style w:type="paragraph" w:styleId="46">
    <w:name w:val="Caption"/>
    <w:basedOn w:val="1087"/>
    <w:next w:val="10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1109"/>
    <w:uiPriority w:val="99"/>
  </w:style>
  <w:style w:type="table" w:styleId="49">
    <w:name w:val="Table Grid Light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0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0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10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0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156"/>
    <w:uiPriority w:val="99"/>
    <w:rPr>
      <w:sz w:val="18"/>
    </w:rPr>
  </w:style>
  <w:style w:type="character" w:styleId="179">
    <w:name w:val="Endnote Text Char"/>
    <w:link w:val="1182"/>
    <w:uiPriority w:val="99"/>
    <w:rPr>
      <w:sz w:val="20"/>
    </w:rPr>
  </w:style>
  <w:style w:type="paragraph" w:styleId="181">
    <w:name w:val="toc 1"/>
    <w:basedOn w:val="1087"/>
    <w:next w:val="108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87"/>
    <w:next w:val="108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87"/>
    <w:next w:val="108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87"/>
    <w:next w:val="108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87"/>
    <w:next w:val="108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87"/>
    <w:next w:val="108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87"/>
    <w:next w:val="108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87"/>
    <w:next w:val="108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87"/>
    <w:next w:val="108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87"/>
    <w:next w:val="1087"/>
    <w:uiPriority w:val="99"/>
    <w:unhideWhenUsed/>
    <w:pPr>
      <w:spacing w:after="0" w:afterAutospacing="0"/>
    </w:pPr>
  </w:style>
  <w:style w:type="paragraph" w:styleId="1087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8">
    <w:name w:val="Heading 1"/>
    <w:basedOn w:val="1087"/>
    <w:next w:val="1087"/>
    <w:link w:val="1094"/>
    <w:qFormat/>
    <w:pPr>
      <w:keepNext/>
      <w:widowControl/>
      <w:outlineLvl w:val="0"/>
    </w:pPr>
    <w:rPr>
      <w:sz w:val="28"/>
      <w:szCs w:val="24"/>
    </w:rPr>
  </w:style>
  <w:style w:type="paragraph" w:styleId="1089">
    <w:name w:val="Heading 2"/>
    <w:basedOn w:val="1087"/>
    <w:next w:val="1087"/>
    <w:link w:val="1095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1090">
    <w:name w:val="Heading 3"/>
    <w:basedOn w:val="1087"/>
    <w:next w:val="1087"/>
    <w:link w:val="1096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1091" w:default="1">
    <w:name w:val="Default Paragraph Font"/>
    <w:uiPriority w:val="1"/>
    <w:semiHidden/>
    <w:unhideWhenUsed/>
  </w:style>
  <w:style w:type="table" w:styleId="10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3" w:default="1">
    <w:name w:val="No List"/>
    <w:uiPriority w:val="99"/>
    <w:semiHidden/>
    <w:unhideWhenUsed/>
  </w:style>
  <w:style w:type="character" w:styleId="1094" w:customStyle="1">
    <w:name w:val="Заголовок 1 Знак"/>
    <w:basedOn w:val="1091"/>
    <w:link w:val="1088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095" w:customStyle="1">
    <w:name w:val="Заголовок 2 Знак"/>
    <w:basedOn w:val="1091"/>
    <w:link w:val="108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096" w:customStyle="1">
    <w:name w:val="Заголовок 3 Знак"/>
    <w:basedOn w:val="1091"/>
    <w:link w:val="1090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097" w:customStyle="1">
    <w:name w:val="Нет списка1"/>
    <w:next w:val="1093"/>
    <w:uiPriority w:val="99"/>
    <w:semiHidden/>
    <w:unhideWhenUsed/>
  </w:style>
  <w:style w:type="paragraph" w:styleId="1098">
    <w:name w:val="Body Text 2"/>
    <w:basedOn w:val="1087"/>
    <w:link w:val="1099"/>
    <w:uiPriority w:val="99"/>
    <w:pPr>
      <w:jc w:val="both"/>
      <w:widowControl/>
    </w:pPr>
    <w:rPr>
      <w:b/>
      <w:sz w:val="24"/>
      <w:szCs w:val="24"/>
    </w:rPr>
  </w:style>
  <w:style w:type="character" w:styleId="1099" w:customStyle="1">
    <w:name w:val="Основной текст 2 Знак"/>
    <w:basedOn w:val="1091"/>
    <w:link w:val="1098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100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101">
    <w:name w:val="Body Text"/>
    <w:basedOn w:val="1087"/>
    <w:link w:val="1102"/>
    <w:pPr>
      <w:spacing w:after="120"/>
    </w:pPr>
  </w:style>
  <w:style w:type="character" w:styleId="1102" w:customStyle="1">
    <w:name w:val="Основной текст Знак"/>
    <w:basedOn w:val="1091"/>
    <w:link w:val="110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3">
    <w:name w:val="Body Text Indent 2"/>
    <w:basedOn w:val="1087"/>
    <w:link w:val="1104"/>
    <w:pPr>
      <w:ind w:left="283"/>
      <w:spacing w:after="120" w:line="480" w:lineRule="auto"/>
    </w:pPr>
  </w:style>
  <w:style w:type="character" w:styleId="1104" w:customStyle="1">
    <w:name w:val="Основной текст с отступом 2 Знак"/>
    <w:basedOn w:val="1091"/>
    <w:link w:val="110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5">
    <w:name w:val="Body Text 3"/>
    <w:basedOn w:val="1087"/>
    <w:link w:val="1106"/>
    <w:pPr>
      <w:spacing w:after="120"/>
    </w:pPr>
    <w:rPr>
      <w:sz w:val="16"/>
      <w:szCs w:val="16"/>
    </w:rPr>
  </w:style>
  <w:style w:type="character" w:styleId="1106" w:customStyle="1">
    <w:name w:val="Основной текст 3 Знак"/>
    <w:basedOn w:val="1091"/>
    <w:link w:val="1105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07">
    <w:name w:val="Header"/>
    <w:basedOn w:val="1087"/>
    <w:link w:val="1108"/>
    <w:uiPriority w:val="99"/>
    <w:pPr>
      <w:tabs>
        <w:tab w:val="center" w:pos="4677" w:leader="none"/>
        <w:tab w:val="right" w:pos="9355" w:leader="none"/>
      </w:tabs>
    </w:pPr>
  </w:style>
  <w:style w:type="character" w:styleId="1108" w:customStyle="1">
    <w:name w:val="Верхний колонтитул Знак"/>
    <w:basedOn w:val="1091"/>
    <w:link w:val="110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9">
    <w:name w:val="Footer"/>
    <w:basedOn w:val="1087"/>
    <w:link w:val="1110"/>
    <w:pPr>
      <w:tabs>
        <w:tab w:val="center" w:pos="4677" w:leader="none"/>
        <w:tab w:val="right" w:pos="9355" w:leader="none"/>
      </w:tabs>
    </w:pPr>
  </w:style>
  <w:style w:type="character" w:styleId="1110" w:customStyle="1">
    <w:name w:val="Нижний колонтитул Знак"/>
    <w:basedOn w:val="1091"/>
    <w:link w:val="110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1">
    <w:name w:val="Balloon Text"/>
    <w:basedOn w:val="1087"/>
    <w:link w:val="1112"/>
    <w:rPr>
      <w:rFonts w:ascii="Tahoma" w:hAnsi="Tahoma" w:cs="Tahoma"/>
      <w:sz w:val="16"/>
      <w:szCs w:val="16"/>
    </w:rPr>
  </w:style>
  <w:style w:type="character" w:styleId="1112" w:customStyle="1">
    <w:name w:val="Текст выноски Знак"/>
    <w:basedOn w:val="1091"/>
    <w:link w:val="1111"/>
    <w:rPr>
      <w:rFonts w:ascii="Tahoma" w:hAnsi="Tahoma" w:eastAsia="Times New Roman" w:cs="Tahoma"/>
      <w:sz w:val="16"/>
      <w:szCs w:val="16"/>
      <w:lang w:eastAsia="ru-RU"/>
    </w:rPr>
  </w:style>
  <w:style w:type="paragraph" w:styleId="111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14" w:customStyle="1">
    <w:name w:val="webofficeattributevalue"/>
  </w:style>
  <w:style w:type="character" w:styleId="1115">
    <w:name w:val="line number"/>
    <w:basedOn w:val="1091"/>
  </w:style>
  <w:style w:type="numbering" w:styleId="1116" w:customStyle="1">
    <w:name w:val="Нет списка11"/>
    <w:next w:val="1093"/>
    <w:uiPriority w:val="99"/>
    <w:semiHidden/>
    <w:unhideWhenUsed/>
  </w:style>
  <w:style w:type="paragraph" w:styleId="1117" w:customStyle="1">
    <w:name w:val="2"/>
    <w:basedOn w:val="1087"/>
    <w:next w:val="1169"/>
    <w:link w:val="1118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1118" w:customStyle="1">
    <w:name w:val="Название Знак"/>
    <w:link w:val="1117"/>
    <w:rPr>
      <w:b/>
      <w:bCs/>
      <w:sz w:val="28"/>
      <w:szCs w:val="24"/>
    </w:rPr>
  </w:style>
  <w:style w:type="paragraph" w:styleId="1119" w:customStyle="1">
    <w:name w:val="a5"/>
    <w:basedOn w:val="1087"/>
    <w:uiPriority w:val="99"/>
    <w:pPr>
      <w:widowControl/>
    </w:pPr>
  </w:style>
  <w:style w:type="paragraph" w:styleId="1120" w:customStyle="1">
    <w:name w:val="Таблица шапка"/>
    <w:basedOn w:val="1087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1121">
    <w:name w:val="page number"/>
    <w:uiPriority w:val="99"/>
    <w:rPr>
      <w:rFonts w:cs="Times New Roman"/>
    </w:rPr>
  </w:style>
  <w:style w:type="paragraph" w:styleId="1122">
    <w:name w:val="Body Text Indent"/>
    <w:basedOn w:val="1087"/>
    <w:link w:val="1123"/>
    <w:pPr>
      <w:ind w:left="283"/>
      <w:spacing w:after="120"/>
    </w:pPr>
    <w:rPr>
      <w:rFonts w:ascii="Arial" w:hAnsi="Arial"/>
    </w:rPr>
  </w:style>
  <w:style w:type="character" w:styleId="1123" w:customStyle="1">
    <w:name w:val="Основной текст с отступом Знак"/>
    <w:basedOn w:val="1091"/>
    <w:link w:val="1122"/>
    <w:rPr>
      <w:rFonts w:ascii="Arial" w:hAnsi="Arial" w:eastAsia="Times New Roman" w:cs="Times New Roman"/>
      <w:sz w:val="20"/>
      <w:szCs w:val="20"/>
      <w:lang w:eastAsia="ru-RU"/>
    </w:rPr>
  </w:style>
  <w:style w:type="paragraph" w:styleId="1124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125">
    <w:name w:val="Block Text"/>
    <w:basedOn w:val="1087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1126">
    <w:name w:val="Subtitle"/>
    <w:basedOn w:val="1087"/>
    <w:link w:val="1127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1127" w:customStyle="1">
    <w:name w:val="Подзаголовок Знак"/>
    <w:basedOn w:val="1091"/>
    <w:link w:val="1126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28" w:customStyle="1">
    <w:name w:val="_Маркер (номер) - с заголовком"/>
    <w:basedOn w:val="1087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1129">
    <w:name w:val="Body Text Indent 3"/>
    <w:basedOn w:val="1087"/>
    <w:link w:val="1130"/>
    <w:pPr>
      <w:ind w:left="283"/>
      <w:spacing w:after="120"/>
    </w:pPr>
    <w:rPr>
      <w:rFonts w:ascii="Arial" w:hAnsi="Arial"/>
      <w:sz w:val="16"/>
      <w:szCs w:val="16"/>
    </w:rPr>
  </w:style>
  <w:style w:type="character" w:styleId="1130" w:customStyle="1">
    <w:name w:val="Основной текст с отступом 3 Знак"/>
    <w:basedOn w:val="1091"/>
    <w:link w:val="1129"/>
    <w:rPr>
      <w:rFonts w:ascii="Arial" w:hAnsi="Arial" w:eastAsia="Times New Roman" w:cs="Times New Roman"/>
      <w:sz w:val="16"/>
      <w:szCs w:val="16"/>
      <w:lang w:eastAsia="ru-RU"/>
    </w:rPr>
  </w:style>
  <w:style w:type="paragraph" w:styleId="1131" w:customStyle="1">
    <w:name w:val="Noeeu14"/>
    <w:basedOn w:val="1087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1132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133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134" w:customStyle="1">
    <w:name w:val="Text"/>
    <w:basedOn w:val="1087"/>
    <w:uiPriority w:val="99"/>
    <w:pPr>
      <w:spacing w:after="240"/>
      <w:widowControl/>
    </w:pPr>
    <w:rPr>
      <w:sz w:val="24"/>
      <w:lang w:val="en-US" w:eastAsia="en-US"/>
    </w:rPr>
  </w:style>
  <w:style w:type="character" w:styleId="1135">
    <w:name w:val="annotation reference"/>
    <w:rPr>
      <w:rFonts w:cs="Times New Roman"/>
      <w:sz w:val="16"/>
      <w:szCs w:val="16"/>
    </w:rPr>
  </w:style>
  <w:style w:type="paragraph" w:styleId="1136">
    <w:name w:val="annotation text"/>
    <w:basedOn w:val="1087"/>
    <w:link w:val="1137"/>
    <w:rPr>
      <w:rFonts w:ascii="Arial" w:hAnsi="Arial" w:cs="Arial"/>
    </w:rPr>
  </w:style>
  <w:style w:type="character" w:styleId="1137" w:customStyle="1">
    <w:name w:val="Текст примечания Знак"/>
    <w:basedOn w:val="1091"/>
    <w:link w:val="1136"/>
    <w:rPr>
      <w:rFonts w:ascii="Arial" w:hAnsi="Arial" w:eastAsia="Times New Roman" w:cs="Arial"/>
      <w:sz w:val="20"/>
      <w:szCs w:val="20"/>
      <w:lang w:eastAsia="ru-RU"/>
    </w:rPr>
  </w:style>
  <w:style w:type="paragraph" w:styleId="1138">
    <w:name w:val="annotation subject"/>
    <w:basedOn w:val="1136"/>
    <w:next w:val="1136"/>
    <w:link w:val="1139"/>
    <w:rPr>
      <w:b/>
      <w:bCs/>
    </w:rPr>
  </w:style>
  <w:style w:type="character" w:styleId="1139" w:customStyle="1">
    <w:name w:val="Тема примечания Знак"/>
    <w:basedOn w:val="1137"/>
    <w:link w:val="1138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140">
    <w:name w:val="No Spacing"/>
    <w:link w:val="1188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141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142">
    <w:name w:val="Normal (Web)"/>
    <w:basedOn w:val="1087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1143" w:customStyle="1">
    <w:name w:val="Нет списка111"/>
    <w:next w:val="1093"/>
    <w:uiPriority w:val="99"/>
    <w:semiHidden/>
    <w:unhideWhenUsed/>
  </w:style>
  <w:style w:type="paragraph" w:styleId="1144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145" w:customStyle="1">
    <w:name w:val="Нет списка2"/>
    <w:next w:val="1093"/>
    <w:uiPriority w:val="99"/>
    <w:semiHidden/>
    <w:unhideWhenUsed/>
  </w:style>
  <w:style w:type="paragraph" w:styleId="1146">
    <w:name w:val="Plain Text"/>
    <w:basedOn w:val="1087"/>
    <w:link w:val="1147"/>
    <w:pPr>
      <w:widowControl/>
    </w:pPr>
    <w:rPr>
      <w:rFonts w:ascii="Courier New" w:hAnsi="Courier New" w:cs="Courier New"/>
    </w:rPr>
  </w:style>
  <w:style w:type="character" w:styleId="1147" w:customStyle="1">
    <w:name w:val="Текст Знак"/>
    <w:basedOn w:val="1091"/>
    <w:link w:val="1146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148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14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150">
    <w:name w:val="Table Grid"/>
    <w:basedOn w:val="109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51" w:customStyle="1">
    <w:name w:val="text"/>
    <w:basedOn w:val="1087"/>
    <w:uiPriority w:val="99"/>
    <w:pPr>
      <w:spacing w:after="240"/>
      <w:widowControl/>
    </w:pPr>
    <w:rPr>
      <w:sz w:val="24"/>
      <w:szCs w:val="24"/>
    </w:rPr>
  </w:style>
  <w:style w:type="paragraph" w:styleId="1152" w:customStyle="1">
    <w:name w:val="Body Text Indent 21"/>
    <w:basedOn w:val="1087"/>
    <w:uiPriority w:val="99"/>
    <w:pPr>
      <w:ind w:firstLine="720"/>
      <w:widowControl/>
    </w:pPr>
    <w:rPr>
      <w:sz w:val="26"/>
      <w:szCs w:val="26"/>
    </w:rPr>
  </w:style>
  <w:style w:type="paragraph" w:styleId="1153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154">
    <w:name w:val="List Paragraph"/>
    <w:basedOn w:val="1087"/>
    <w:link w:val="1159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1155">
    <w:name w:val="Hyperlink"/>
    <w:uiPriority w:val="99"/>
    <w:unhideWhenUsed/>
    <w:rPr>
      <w:color w:val="0000ff"/>
      <w:u w:val="single"/>
    </w:rPr>
  </w:style>
  <w:style w:type="paragraph" w:styleId="1156">
    <w:name w:val="footnote text"/>
    <w:basedOn w:val="1087"/>
    <w:link w:val="1157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1157" w:customStyle="1">
    <w:name w:val="Текст сноски Знак"/>
    <w:basedOn w:val="1091"/>
    <w:link w:val="1156"/>
    <w:uiPriority w:val="99"/>
    <w:rPr>
      <w:rFonts w:ascii="Calibri" w:hAnsi="Calibri" w:eastAsia="Calibri" w:cs="Times New Roman"/>
      <w:sz w:val="20"/>
      <w:szCs w:val="20"/>
    </w:rPr>
  </w:style>
  <w:style w:type="character" w:styleId="1158">
    <w:name w:val="footnote reference"/>
    <w:uiPriority w:val="99"/>
    <w:unhideWhenUsed/>
    <w:rPr>
      <w:vertAlign w:val="superscript"/>
    </w:rPr>
  </w:style>
  <w:style w:type="character" w:styleId="1159" w:customStyle="1">
    <w:name w:val="Абзац списка Знак"/>
    <w:link w:val="1154"/>
    <w:uiPriority w:val="34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160" w:customStyle="1">
    <w:name w:val="П.1 Char"/>
    <w:link w:val="1161"/>
    <w:rPr>
      <w:bCs/>
      <w:sz w:val="24"/>
      <w:szCs w:val="24"/>
    </w:rPr>
  </w:style>
  <w:style w:type="paragraph" w:styleId="1161" w:customStyle="1">
    <w:name w:val="П.1"/>
    <w:basedOn w:val="1154"/>
    <w:link w:val="1160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162" w:customStyle="1">
    <w:name w:val="П.1.1 Char"/>
    <w:link w:val="1163"/>
    <w:rPr>
      <w:bCs/>
      <w:sz w:val="24"/>
      <w:szCs w:val="24"/>
    </w:rPr>
  </w:style>
  <w:style w:type="paragraph" w:styleId="1163" w:customStyle="1">
    <w:name w:val="П.1.1"/>
    <w:basedOn w:val="1161"/>
    <w:link w:val="1162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164" w:customStyle="1">
    <w:name w:val="П.1.1.1"/>
    <w:basedOn w:val="1161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165" w:customStyle="1">
    <w:name w:val="П.1.1.1.1"/>
    <w:basedOn w:val="1161"/>
    <w:next w:val="1087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166" w:customStyle="1">
    <w:name w:val="П.1.1.1.1.1"/>
    <w:basedOn w:val="1161"/>
    <w:next w:val="1165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167" w:customStyle="1">
    <w:name w:val="П.глава"/>
    <w:basedOn w:val="1154"/>
    <w:next w:val="1161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168" w:customStyle="1">
    <w:name w:val="Сетка таблицы1"/>
    <w:basedOn w:val="1092"/>
    <w:next w:val="1150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69">
    <w:name w:val="Title"/>
    <w:basedOn w:val="1087"/>
    <w:next w:val="1087"/>
    <w:link w:val="1170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170" w:customStyle="1">
    <w:name w:val="Название Знак1"/>
    <w:basedOn w:val="1091"/>
    <w:link w:val="1169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171" w:customStyle="1">
    <w:name w:val="Нет списка3"/>
    <w:next w:val="1093"/>
    <w:semiHidden/>
    <w:unhideWhenUsed/>
  </w:style>
  <w:style w:type="table" w:styleId="1172" w:customStyle="1">
    <w:name w:val="Сетка таблицы2"/>
    <w:basedOn w:val="1092"/>
    <w:next w:val="115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173" w:customStyle="1">
    <w:name w:val="1"/>
    <w:basedOn w:val="1087"/>
    <w:next w:val="1169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174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175" w:customStyle="1">
    <w:name w:val="Тема приказа"/>
    <w:basedOn w:val="1087"/>
    <w:link w:val="1176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1176" w:customStyle="1">
    <w:name w:val="Тема приказа Знак"/>
    <w:link w:val="1175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177" w:customStyle="1">
    <w:name w:val="Основной текст_"/>
    <w:link w:val="1178"/>
    <w:rPr>
      <w:sz w:val="23"/>
      <w:szCs w:val="23"/>
      <w:shd w:val="clear" w:color="auto" w:fill="ffffff"/>
    </w:rPr>
  </w:style>
  <w:style w:type="paragraph" w:styleId="1178" w:customStyle="1">
    <w:name w:val="Основной текст3"/>
    <w:basedOn w:val="1087"/>
    <w:link w:val="1177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1179">
    <w:name w:val="Colorful List Accent 1"/>
    <w:basedOn w:val="1092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180" w:customStyle="1">
    <w:name w:val="4"/>
    <w:basedOn w:val="1087"/>
    <w:next w:val="1169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181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82">
    <w:name w:val="endnote text"/>
    <w:basedOn w:val="1087"/>
    <w:link w:val="1183"/>
    <w:uiPriority w:val="99"/>
    <w:semiHidden/>
    <w:unhideWhenUsed/>
    <w:pPr>
      <w:widowControl/>
    </w:pPr>
  </w:style>
  <w:style w:type="character" w:styleId="1183" w:customStyle="1">
    <w:name w:val="Текст концевой сноски Знак"/>
    <w:basedOn w:val="1091"/>
    <w:link w:val="118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84">
    <w:name w:val="endnote reference"/>
    <w:uiPriority w:val="99"/>
    <w:semiHidden/>
    <w:unhideWhenUsed/>
    <w:rPr>
      <w:vertAlign w:val="superscript"/>
    </w:rPr>
  </w:style>
  <w:style w:type="paragraph" w:styleId="1185" w:customStyle="1">
    <w:name w:val="3"/>
    <w:basedOn w:val="1087"/>
    <w:next w:val="1169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186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87" w:customStyle="1">
    <w:name w:val="Знак Знак Знак1"/>
    <w:basedOn w:val="1087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188" w:customStyle="1">
    <w:name w:val="Без интервала Знак"/>
    <w:link w:val="1140"/>
    <w:uiPriority w:val="1"/>
    <w:rPr>
      <w:rFonts w:ascii="Calibri" w:hAnsi="Calibri" w:eastAsia="Times New Roman" w:cs="Times New Roman"/>
      <w:sz w:val="28"/>
      <w:szCs w:val="28"/>
      <w:lang w:eastAsia="ru-RU"/>
    </w:rPr>
  </w:style>
  <w:style w:type="character" w:styleId="1189" w:customStyle="1">
    <w:name w:val="МРСК_нумерованный_список Знак"/>
    <w:basedOn w:val="1091"/>
    <w:link w:val="1190"/>
  </w:style>
  <w:style w:type="paragraph" w:styleId="1190" w:customStyle="1">
    <w:name w:val="МРСК_нумерованный_список"/>
    <w:basedOn w:val="1087"/>
    <w:link w:val="1189"/>
    <w:pPr>
      <w:jc w:val="both"/>
      <w:spacing w:line="300" w:lineRule="auto"/>
      <w:widowControl/>
    </w:pPr>
    <w:rPr>
      <w:rFonts w:asciiTheme="minorHAnsi" w:hAnsiTheme="minorHAnsi" w:eastAsiaTheme="minorHAnsi" w:cstheme="minorBidi"/>
      <w:sz w:val="22"/>
      <w:szCs w:val="22"/>
    </w:rPr>
  </w:style>
  <w:style w:type="paragraph" w:styleId="1191" w:customStyle="1">
    <w:name w:val=".FORMATTEXT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192" w:customStyle="1">
    <w:name w:val=".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color w:val="2b4279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mailto:sbit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arbitration-rspp.ru/arbitration-clause/general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FD931-2CC1-407C-8E9F-296A1E8E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revision>7</cp:revision>
  <dcterms:created xsi:type="dcterms:W3CDTF">2024-02-20T12:48:00Z</dcterms:created>
  <dcterms:modified xsi:type="dcterms:W3CDTF">2024-05-16T03:11:32Z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